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4948" w14:textId="77777777" w:rsidR="000B7810" w:rsidRPr="00657009" w:rsidRDefault="000B7810" w:rsidP="003A4ABA">
      <w:pPr>
        <w:tabs>
          <w:tab w:val="left" w:leader="underscore" w:pos="9639"/>
        </w:tabs>
        <w:spacing w:after="0" w:line="240" w:lineRule="auto"/>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7D1E76" w:rsidP="00CB41C4">
      <w:pPr>
        <w:tabs>
          <w:tab w:val="left" w:leader="underscore" w:pos="9639"/>
        </w:tabs>
        <w:spacing w:after="0" w:line="240" w:lineRule="auto"/>
        <w:jc w:val="center"/>
        <w:rPr>
          <w:rFonts w:cs="Calibri"/>
          <w:b/>
          <w:sz w:val="28"/>
          <w:szCs w:val="28"/>
        </w:rPr>
      </w:pPr>
      <w:hyperlink r:id="rId11" w:history="1">
        <w:r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79F3D677"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2564C5">
              <w:rPr>
                <w:noProof/>
                <w:webHidden/>
              </w:rPr>
              <w:t>2</w:t>
            </w:r>
            <w:r>
              <w:rPr>
                <w:noProof/>
                <w:webHidden/>
              </w:rPr>
              <w:fldChar w:fldCharType="end"/>
            </w:r>
          </w:hyperlink>
        </w:p>
        <w:p w14:paraId="47CC41D1" w14:textId="79A67F9E" w:rsidR="00F46719" w:rsidRDefault="00F46719">
          <w:pPr>
            <w:pStyle w:val="TDC2"/>
            <w:tabs>
              <w:tab w:val="right" w:leader="dot" w:pos="9678"/>
            </w:tabs>
            <w:rPr>
              <w:noProof/>
            </w:rPr>
          </w:pPr>
          <w:hyperlink w:anchor="_Toc508279622" w:history="1">
            <w:r w:rsidRPr="00C669D1">
              <w:rPr>
                <w:rStyle w:val="Hipervnculo"/>
                <w:rFonts w:cstheme="minorHAnsi"/>
                <w:noProof/>
              </w:rPr>
              <w:t>2. Describir el panorama Económico y Financiero:</w:t>
            </w:r>
            <w:r>
              <w:rPr>
                <w:noProof/>
                <w:webHidden/>
              </w:rPr>
              <w:tab/>
            </w:r>
            <w:r>
              <w:rPr>
                <w:noProof/>
                <w:webHidden/>
              </w:rPr>
              <w:fldChar w:fldCharType="begin"/>
            </w:r>
            <w:r>
              <w:rPr>
                <w:noProof/>
                <w:webHidden/>
              </w:rPr>
              <w:instrText xml:space="preserve"> PAGEREF _Toc508279622 \h </w:instrText>
            </w:r>
            <w:r>
              <w:rPr>
                <w:noProof/>
                <w:webHidden/>
              </w:rPr>
            </w:r>
            <w:r>
              <w:rPr>
                <w:noProof/>
                <w:webHidden/>
              </w:rPr>
              <w:fldChar w:fldCharType="separate"/>
            </w:r>
            <w:r w:rsidR="002564C5">
              <w:rPr>
                <w:noProof/>
                <w:webHidden/>
              </w:rPr>
              <w:t>2</w:t>
            </w:r>
            <w:r>
              <w:rPr>
                <w:noProof/>
                <w:webHidden/>
              </w:rPr>
              <w:fldChar w:fldCharType="end"/>
            </w:r>
          </w:hyperlink>
        </w:p>
        <w:p w14:paraId="0205BF1A" w14:textId="178DADB2" w:rsidR="00F46719" w:rsidRDefault="00F46719">
          <w:pPr>
            <w:pStyle w:val="TDC2"/>
            <w:tabs>
              <w:tab w:val="right" w:leader="dot" w:pos="9678"/>
            </w:tabs>
            <w:rPr>
              <w:noProof/>
            </w:rPr>
          </w:pPr>
          <w:hyperlink w:anchor="_Toc508279623" w:history="1">
            <w:r w:rsidRPr="00C669D1">
              <w:rPr>
                <w:rStyle w:val="Hipervnculo"/>
                <w:rFonts w:cstheme="minorHAnsi"/>
                <w:noProof/>
              </w:rPr>
              <w:t>3. Autorización e Historia:</w:t>
            </w:r>
            <w:r>
              <w:rPr>
                <w:noProof/>
                <w:webHidden/>
              </w:rPr>
              <w:tab/>
            </w:r>
            <w:r>
              <w:rPr>
                <w:noProof/>
                <w:webHidden/>
              </w:rPr>
              <w:fldChar w:fldCharType="begin"/>
            </w:r>
            <w:r>
              <w:rPr>
                <w:noProof/>
                <w:webHidden/>
              </w:rPr>
              <w:instrText xml:space="preserve"> PAGEREF _Toc508279623 \h </w:instrText>
            </w:r>
            <w:r>
              <w:rPr>
                <w:noProof/>
                <w:webHidden/>
              </w:rPr>
            </w:r>
            <w:r>
              <w:rPr>
                <w:noProof/>
                <w:webHidden/>
              </w:rPr>
              <w:fldChar w:fldCharType="separate"/>
            </w:r>
            <w:r w:rsidR="002564C5">
              <w:rPr>
                <w:noProof/>
                <w:webHidden/>
              </w:rPr>
              <w:t>3</w:t>
            </w:r>
            <w:r>
              <w:rPr>
                <w:noProof/>
                <w:webHidden/>
              </w:rPr>
              <w:fldChar w:fldCharType="end"/>
            </w:r>
          </w:hyperlink>
        </w:p>
        <w:p w14:paraId="3181098F" w14:textId="7BE07CE0" w:rsidR="00F46719" w:rsidRDefault="00F46719">
          <w:pPr>
            <w:pStyle w:val="TDC2"/>
            <w:tabs>
              <w:tab w:val="right" w:leader="dot" w:pos="9678"/>
            </w:tabs>
            <w:rPr>
              <w:noProof/>
            </w:rPr>
          </w:pPr>
          <w:hyperlink w:anchor="_Toc508279624" w:history="1">
            <w:r w:rsidRPr="00C669D1">
              <w:rPr>
                <w:rStyle w:val="Hipervnculo"/>
                <w:rFonts w:cstheme="minorHAnsi"/>
                <w:noProof/>
              </w:rPr>
              <w:t>4. Organización y Objeto Social:</w:t>
            </w:r>
            <w:r>
              <w:rPr>
                <w:noProof/>
                <w:webHidden/>
              </w:rPr>
              <w:tab/>
            </w:r>
            <w:r>
              <w:rPr>
                <w:noProof/>
                <w:webHidden/>
              </w:rPr>
              <w:fldChar w:fldCharType="begin"/>
            </w:r>
            <w:r>
              <w:rPr>
                <w:noProof/>
                <w:webHidden/>
              </w:rPr>
              <w:instrText xml:space="preserve"> PAGEREF _Toc508279624 \h </w:instrText>
            </w:r>
            <w:r>
              <w:rPr>
                <w:noProof/>
                <w:webHidden/>
              </w:rPr>
            </w:r>
            <w:r>
              <w:rPr>
                <w:noProof/>
                <w:webHidden/>
              </w:rPr>
              <w:fldChar w:fldCharType="separate"/>
            </w:r>
            <w:r w:rsidR="002564C5">
              <w:rPr>
                <w:noProof/>
                <w:webHidden/>
              </w:rPr>
              <w:t>3</w:t>
            </w:r>
            <w:r>
              <w:rPr>
                <w:noProof/>
                <w:webHidden/>
              </w:rPr>
              <w:fldChar w:fldCharType="end"/>
            </w:r>
          </w:hyperlink>
        </w:p>
        <w:p w14:paraId="3E5886DF" w14:textId="6547809F" w:rsidR="00F46719" w:rsidRDefault="00F46719">
          <w:pPr>
            <w:pStyle w:val="TDC2"/>
            <w:tabs>
              <w:tab w:val="right" w:leader="dot" w:pos="9678"/>
            </w:tabs>
            <w:rPr>
              <w:noProof/>
            </w:rPr>
          </w:pPr>
          <w:hyperlink w:anchor="_Toc508279625" w:history="1">
            <w:r w:rsidRPr="00C669D1">
              <w:rPr>
                <w:rStyle w:val="Hipervnculo"/>
                <w:rFonts w:cstheme="minorHAnsi"/>
                <w:noProof/>
              </w:rPr>
              <w:t>5. Bases de Preparación de los Estados Financieros:</w:t>
            </w:r>
            <w:r>
              <w:rPr>
                <w:noProof/>
                <w:webHidden/>
              </w:rPr>
              <w:tab/>
            </w:r>
            <w:r>
              <w:rPr>
                <w:noProof/>
                <w:webHidden/>
              </w:rPr>
              <w:fldChar w:fldCharType="begin"/>
            </w:r>
            <w:r>
              <w:rPr>
                <w:noProof/>
                <w:webHidden/>
              </w:rPr>
              <w:instrText xml:space="preserve"> PAGEREF _Toc508279625 \h </w:instrText>
            </w:r>
            <w:r>
              <w:rPr>
                <w:noProof/>
                <w:webHidden/>
              </w:rPr>
            </w:r>
            <w:r>
              <w:rPr>
                <w:noProof/>
                <w:webHidden/>
              </w:rPr>
              <w:fldChar w:fldCharType="separate"/>
            </w:r>
            <w:r w:rsidR="002564C5">
              <w:rPr>
                <w:noProof/>
                <w:webHidden/>
              </w:rPr>
              <w:t>4</w:t>
            </w:r>
            <w:r>
              <w:rPr>
                <w:noProof/>
                <w:webHidden/>
              </w:rPr>
              <w:fldChar w:fldCharType="end"/>
            </w:r>
          </w:hyperlink>
        </w:p>
        <w:p w14:paraId="653AF446" w14:textId="383B3972" w:rsidR="00F46719" w:rsidRDefault="00F46719">
          <w:pPr>
            <w:pStyle w:val="TDC2"/>
            <w:tabs>
              <w:tab w:val="right" w:leader="dot" w:pos="9678"/>
            </w:tabs>
            <w:rPr>
              <w:noProof/>
            </w:rPr>
          </w:pPr>
          <w:hyperlink w:anchor="_Toc508279626" w:history="1">
            <w:r w:rsidRPr="00C669D1">
              <w:rPr>
                <w:rStyle w:val="Hipervnculo"/>
                <w:rFonts w:cstheme="minorHAnsi"/>
                <w:noProof/>
              </w:rPr>
              <w:t>6. Políticas de Contabilidad Significativas:</w:t>
            </w:r>
            <w:r>
              <w:rPr>
                <w:noProof/>
                <w:webHidden/>
              </w:rPr>
              <w:tab/>
            </w:r>
            <w:r>
              <w:rPr>
                <w:noProof/>
                <w:webHidden/>
              </w:rPr>
              <w:fldChar w:fldCharType="begin"/>
            </w:r>
            <w:r>
              <w:rPr>
                <w:noProof/>
                <w:webHidden/>
              </w:rPr>
              <w:instrText xml:space="preserve"> PAGEREF _Toc508279626 \h </w:instrText>
            </w:r>
            <w:r>
              <w:rPr>
                <w:noProof/>
                <w:webHidden/>
              </w:rPr>
            </w:r>
            <w:r>
              <w:rPr>
                <w:noProof/>
                <w:webHidden/>
              </w:rPr>
              <w:fldChar w:fldCharType="separate"/>
            </w:r>
            <w:r w:rsidR="002564C5">
              <w:rPr>
                <w:noProof/>
                <w:webHidden/>
              </w:rPr>
              <w:t>5</w:t>
            </w:r>
            <w:r>
              <w:rPr>
                <w:noProof/>
                <w:webHidden/>
              </w:rPr>
              <w:fldChar w:fldCharType="end"/>
            </w:r>
          </w:hyperlink>
        </w:p>
        <w:p w14:paraId="21BA046A" w14:textId="4B3F0EB9" w:rsidR="00F46719" w:rsidRDefault="00F46719">
          <w:pPr>
            <w:pStyle w:val="TDC2"/>
            <w:tabs>
              <w:tab w:val="right" w:leader="dot" w:pos="9678"/>
            </w:tabs>
            <w:rPr>
              <w:noProof/>
            </w:rPr>
          </w:pPr>
          <w:hyperlink w:anchor="_Toc508279627" w:history="1">
            <w:r w:rsidRPr="00C669D1">
              <w:rPr>
                <w:rStyle w:val="Hipervnculo"/>
                <w:rFonts w:cstheme="minorHAnsi"/>
                <w:noProof/>
              </w:rPr>
              <w:t>7. Posición en Moneda Extranjera y Protección por Riesgo Cambiario:</w:t>
            </w:r>
            <w:r>
              <w:rPr>
                <w:noProof/>
                <w:webHidden/>
              </w:rPr>
              <w:tab/>
            </w:r>
            <w:r>
              <w:rPr>
                <w:noProof/>
                <w:webHidden/>
              </w:rPr>
              <w:fldChar w:fldCharType="begin"/>
            </w:r>
            <w:r>
              <w:rPr>
                <w:noProof/>
                <w:webHidden/>
              </w:rPr>
              <w:instrText xml:space="preserve"> PAGEREF _Toc508279627 \h </w:instrText>
            </w:r>
            <w:r>
              <w:rPr>
                <w:noProof/>
                <w:webHidden/>
              </w:rPr>
            </w:r>
            <w:r>
              <w:rPr>
                <w:noProof/>
                <w:webHidden/>
              </w:rPr>
              <w:fldChar w:fldCharType="separate"/>
            </w:r>
            <w:r w:rsidR="002564C5">
              <w:rPr>
                <w:noProof/>
                <w:webHidden/>
              </w:rPr>
              <w:t>6</w:t>
            </w:r>
            <w:r>
              <w:rPr>
                <w:noProof/>
                <w:webHidden/>
              </w:rPr>
              <w:fldChar w:fldCharType="end"/>
            </w:r>
          </w:hyperlink>
        </w:p>
        <w:p w14:paraId="784807F5" w14:textId="10E0B545" w:rsidR="00F46719" w:rsidRDefault="00F46719">
          <w:pPr>
            <w:pStyle w:val="TDC2"/>
            <w:tabs>
              <w:tab w:val="right" w:leader="dot" w:pos="9678"/>
            </w:tabs>
            <w:rPr>
              <w:noProof/>
            </w:rPr>
          </w:pPr>
          <w:hyperlink w:anchor="_Toc508279628" w:history="1">
            <w:r w:rsidRPr="00C669D1">
              <w:rPr>
                <w:rStyle w:val="Hipervnculo"/>
                <w:rFonts w:cstheme="minorHAnsi"/>
                <w:noProof/>
              </w:rPr>
              <w:t>8. Reporte Analítico del Activo:</w:t>
            </w:r>
            <w:r>
              <w:rPr>
                <w:noProof/>
                <w:webHidden/>
              </w:rPr>
              <w:tab/>
            </w:r>
            <w:r>
              <w:rPr>
                <w:noProof/>
                <w:webHidden/>
              </w:rPr>
              <w:fldChar w:fldCharType="begin"/>
            </w:r>
            <w:r>
              <w:rPr>
                <w:noProof/>
                <w:webHidden/>
              </w:rPr>
              <w:instrText xml:space="preserve"> PAGEREF _Toc508279628 \h </w:instrText>
            </w:r>
            <w:r>
              <w:rPr>
                <w:noProof/>
                <w:webHidden/>
              </w:rPr>
            </w:r>
            <w:r>
              <w:rPr>
                <w:noProof/>
                <w:webHidden/>
              </w:rPr>
              <w:fldChar w:fldCharType="separate"/>
            </w:r>
            <w:r w:rsidR="002564C5">
              <w:rPr>
                <w:noProof/>
                <w:webHidden/>
              </w:rPr>
              <w:t>6</w:t>
            </w:r>
            <w:r>
              <w:rPr>
                <w:noProof/>
                <w:webHidden/>
              </w:rPr>
              <w:fldChar w:fldCharType="end"/>
            </w:r>
          </w:hyperlink>
        </w:p>
        <w:p w14:paraId="7E663DB5" w14:textId="0FD1BC3F" w:rsidR="00F46719" w:rsidRDefault="00F46719">
          <w:pPr>
            <w:pStyle w:val="TDC2"/>
            <w:tabs>
              <w:tab w:val="right" w:leader="dot" w:pos="9678"/>
            </w:tabs>
            <w:rPr>
              <w:noProof/>
            </w:rPr>
          </w:pPr>
          <w:hyperlink w:anchor="_Toc508279629" w:history="1">
            <w:r w:rsidRPr="00C669D1">
              <w:rPr>
                <w:rStyle w:val="Hipervnculo"/>
                <w:rFonts w:cstheme="minorHAnsi"/>
                <w:noProof/>
              </w:rPr>
              <w:t>9. Fideicomisos, Mandatos y Análogos:</w:t>
            </w:r>
            <w:r>
              <w:rPr>
                <w:noProof/>
                <w:webHidden/>
              </w:rPr>
              <w:tab/>
            </w:r>
            <w:r>
              <w:rPr>
                <w:noProof/>
                <w:webHidden/>
              </w:rPr>
              <w:fldChar w:fldCharType="begin"/>
            </w:r>
            <w:r>
              <w:rPr>
                <w:noProof/>
                <w:webHidden/>
              </w:rPr>
              <w:instrText xml:space="preserve"> PAGEREF _Toc508279629 \h </w:instrText>
            </w:r>
            <w:r>
              <w:rPr>
                <w:noProof/>
                <w:webHidden/>
              </w:rPr>
            </w:r>
            <w:r>
              <w:rPr>
                <w:noProof/>
                <w:webHidden/>
              </w:rPr>
              <w:fldChar w:fldCharType="separate"/>
            </w:r>
            <w:r w:rsidR="002564C5">
              <w:rPr>
                <w:noProof/>
                <w:webHidden/>
              </w:rPr>
              <w:t>8</w:t>
            </w:r>
            <w:r>
              <w:rPr>
                <w:noProof/>
                <w:webHidden/>
              </w:rPr>
              <w:fldChar w:fldCharType="end"/>
            </w:r>
          </w:hyperlink>
        </w:p>
        <w:p w14:paraId="335A44C3" w14:textId="46466B4E" w:rsidR="00F46719" w:rsidRDefault="00F46719">
          <w:pPr>
            <w:pStyle w:val="TDC2"/>
            <w:tabs>
              <w:tab w:val="right" w:leader="dot" w:pos="9678"/>
            </w:tabs>
            <w:rPr>
              <w:noProof/>
            </w:rPr>
          </w:pPr>
          <w:hyperlink w:anchor="_Toc508279630" w:history="1">
            <w:r w:rsidRPr="00C669D1">
              <w:rPr>
                <w:rStyle w:val="Hipervnculo"/>
                <w:rFonts w:cstheme="minorHAnsi"/>
                <w:noProof/>
              </w:rPr>
              <w:t>10. Reporte de la Recaudación:</w:t>
            </w:r>
            <w:r>
              <w:rPr>
                <w:noProof/>
                <w:webHidden/>
              </w:rPr>
              <w:tab/>
            </w:r>
            <w:r>
              <w:rPr>
                <w:noProof/>
                <w:webHidden/>
              </w:rPr>
              <w:fldChar w:fldCharType="begin"/>
            </w:r>
            <w:r>
              <w:rPr>
                <w:noProof/>
                <w:webHidden/>
              </w:rPr>
              <w:instrText xml:space="preserve"> PAGEREF _Toc508279630 \h </w:instrText>
            </w:r>
            <w:r>
              <w:rPr>
                <w:noProof/>
                <w:webHidden/>
              </w:rPr>
            </w:r>
            <w:r>
              <w:rPr>
                <w:noProof/>
                <w:webHidden/>
              </w:rPr>
              <w:fldChar w:fldCharType="separate"/>
            </w:r>
            <w:r w:rsidR="002564C5">
              <w:rPr>
                <w:noProof/>
                <w:webHidden/>
              </w:rPr>
              <w:t>8</w:t>
            </w:r>
            <w:r>
              <w:rPr>
                <w:noProof/>
                <w:webHidden/>
              </w:rPr>
              <w:fldChar w:fldCharType="end"/>
            </w:r>
          </w:hyperlink>
        </w:p>
        <w:p w14:paraId="290CB7FF" w14:textId="187D611B" w:rsidR="00F46719" w:rsidRDefault="00F46719">
          <w:pPr>
            <w:pStyle w:val="TDC2"/>
            <w:tabs>
              <w:tab w:val="right" w:leader="dot" w:pos="9678"/>
            </w:tabs>
            <w:rPr>
              <w:noProof/>
            </w:rPr>
          </w:pPr>
          <w:hyperlink w:anchor="_Toc508279631" w:history="1">
            <w:r w:rsidRPr="00C669D1">
              <w:rPr>
                <w:rStyle w:val="Hipervnculo"/>
                <w:rFonts w:cstheme="minorHAnsi"/>
                <w:noProof/>
              </w:rPr>
              <w:t>11. Información sobre la Deuda y el Reporte Analítico de la Deuda:</w:t>
            </w:r>
            <w:r>
              <w:rPr>
                <w:noProof/>
                <w:webHidden/>
              </w:rPr>
              <w:tab/>
            </w:r>
            <w:r>
              <w:rPr>
                <w:noProof/>
                <w:webHidden/>
              </w:rPr>
              <w:fldChar w:fldCharType="begin"/>
            </w:r>
            <w:r>
              <w:rPr>
                <w:noProof/>
                <w:webHidden/>
              </w:rPr>
              <w:instrText xml:space="preserve"> PAGEREF _Toc508279631 \h </w:instrText>
            </w:r>
            <w:r>
              <w:rPr>
                <w:noProof/>
                <w:webHidden/>
              </w:rPr>
            </w:r>
            <w:r>
              <w:rPr>
                <w:noProof/>
                <w:webHidden/>
              </w:rPr>
              <w:fldChar w:fldCharType="separate"/>
            </w:r>
            <w:r w:rsidR="002564C5">
              <w:rPr>
                <w:noProof/>
                <w:webHidden/>
              </w:rPr>
              <w:t>8</w:t>
            </w:r>
            <w:r>
              <w:rPr>
                <w:noProof/>
                <w:webHidden/>
              </w:rPr>
              <w:fldChar w:fldCharType="end"/>
            </w:r>
          </w:hyperlink>
        </w:p>
        <w:p w14:paraId="67FB6C3B" w14:textId="1924B0B5" w:rsidR="00F46719" w:rsidRDefault="00F46719">
          <w:pPr>
            <w:pStyle w:val="TDC2"/>
            <w:tabs>
              <w:tab w:val="right" w:leader="dot" w:pos="9678"/>
            </w:tabs>
            <w:rPr>
              <w:noProof/>
            </w:rPr>
          </w:pPr>
          <w:hyperlink w:anchor="_Toc508279632" w:history="1">
            <w:r w:rsidRPr="00C669D1">
              <w:rPr>
                <w:rStyle w:val="Hipervnculo"/>
                <w:rFonts w:cstheme="minorHAnsi"/>
                <w:noProof/>
              </w:rPr>
              <w:t>12. Calificaciones otorgadas:</w:t>
            </w:r>
            <w:r>
              <w:rPr>
                <w:noProof/>
                <w:webHidden/>
              </w:rPr>
              <w:tab/>
            </w:r>
            <w:r>
              <w:rPr>
                <w:noProof/>
                <w:webHidden/>
              </w:rPr>
              <w:fldChar w:fldCharType="begin"/>
            </w:r>
            <w:r>
              <w:rPr>
                <w:noProof/>
                <w:webHidden/>
              </w:rPr>
              <w:instrText xml:space="preserve"> PAGEREF _Toc508279632 \h </w:instrText>
            </w:r>
            <w:r>
              <w:rPr>
                <w:noProof/>
                <w:webHidden/>
              </w:rPr>
            </w:r>
            <w:r>
              <w:rPr>
                <w:noProof/>
                <w:webHidden/>
              </w:rPr>
              <w:fldChar w:fldCharType="separate"/>
            </w:r>
            <w:r w:rsidR="002564C5">
              <w:rPr>
                <w:noProof/>
                <w:webHidden/>
              </w:rPr>
              <w:t>10</w:t>
            </w:r>
            <w:r>
              <w:rPr>
                <w:noProof/>
                <w:webHidden/>
              </w:rPr>
              <w:fldChar w:fldCharType="end"/>
            </w:r>
          </w:hyperlink>
        </w:p>
        <w:p w14:paraId="3373EEEC" w14:textId="08779F43" w:rsidR="00F46719" w:rsidRDefault="00F46719">
          <w:pPr>
            <w:pStyle w:val="TDC2"/>
            <w:tabs>
              <w:tab w:val="right" w:leader="dot" w:pos="9678"/>
            </w:tabs>
            <w:rPr>
              <w:noProof/>
            </w:rPr>
          </w:pPr>
          <w:hyperlink w:anchor="_Toc508279633" w:history="1">
            <w:r w:rsidRPr="00C669D1">
              <w:rPr>
                <w:rStyle w:val="Hipervnculo"/>
                <w:rFonts w:cstheme="minorHAnsi"/>
                <w:noProof/>
              </w:rPr>
              <w:t>13. Proceso de Mejora:</w:t>
            </w:r>
            <w:r>
              <w:rPr>
                <w:noProof/>
                <w:webHidden/>
              </w:rPr>
              <w:tab/>
            </w:r>
            <w:r>
              <w:rPr>
                <w:noProof/>
                <w:webHidden/>
              </w:rPr>
              <w:fldChar w:fldCharType="begin"/>
            </w:r>
            <w:r>
              <w:rPr>
                <w:noProof/>
                <w:webHidden/>
              </w:rPr>
              <w:instrText xml:space="preserve"> PAGEREF _Toc508279633 \h </w:instrText>
            </w:r>
            <w:r>
              <w:rPr>
                <w:noProof/>
                <w:webHidden/>
              </w:rPr>
            </w:r>
            <w:r>
              <w:rPr>
                <w:noProof/>
                <w:webHidden/>
              </w:rPr>
              <w:fldChar w:fldCharType="separate"/>
            </w:r>
            <w:r w:rsidR="002564C5">
              <w:rPr>
                <w:noProof/>
                <w:webHidden/>
              </w:rPr>
              <w:t>10</w:t>
            </w:r>
            <w:r>
              <w:rPr>
                <w:noProof/>
                <w:webHidden/>
              </w:rPr>
              <w:fldChar w:fldCharType="end"/>
            </w:r>
          </w:hyperlink>
        </w:p>
        <w:p w14:paraId="01A1A543" w14:textId="6816B741" w:rsidR="00F46719" w:rsidRDefault="00F46719">
          <w:pPr>
            <w:pStyle w:val="TDC2"/>
            <w:tabs>
              <w:tab w:val="right" w:leader="dot" w:pos="9678"/>
            </w:tabs>
            <w:rPr>
              <w:noProof/>
            </w:rPr>
          </w:pPr>
          <w:hyperlink w:anchor="_Toc508279634" w:history="1">
            <w:r w:rsidRPr="00C669D1">
              <w:rPr>
                <w:rStyle w:val="Hipervnculo"/>
                <w:rFonts w:cstheme="minorHAnsi"/>
                <w:noProof/>
              </w:rPr>
              <w:t>14. Información por Segmentos:</w:t>
            </w:r>
            <w:r>
              <w:rPr>
                <w:noProof/>
                <w:webHidden/>
              </w:rPr>
              <w:tab/>
            </w:r>
            <w:r>
              <w:rPr>
                <w:noProof/>
                <w:webHidden/>
              </w:rPr>
              <w:fldChar w:fldCharType="begin"/>
            </w:r>
            <w:r>
              <w:rPr>
                <w:noProof/>
                <w:webHidden/>
              </w:rPr>
              <w:instrText xml:space="preserve"> PAGEREF _Toc508279634 \h </w:instrText>
            </w:r>
            <w:r>
              <w:rPr>
                <w:noProof/>
                <w:webHidden/>
              </w:rPr>
            </w:r>
            <w:r>
              <w:rPr>
                <w:noProof/>
                <w:webHidden/>
              </w:rPr>
              <w:fldChar w:fldCharType="separate"/>
            </w:r>
            <w:r w:rsidR="002564C5">
              <w:rPr>
                <w:noProof/>
                <w:webHidden/>
              </w:rPr>
              <w:t>10</w:t>
            </w:r>
            <w:r>
              <w:rPr>
                <w:noProof/>
                <w:webHidden/>
              </w:rPr>
              <w:fldChar w:fldCharType="end"/>
            </w:r>
          </w:hyperlink>
        </w:p>
        <w:p w14:paraId="314DA06E" w14:textId="5685289A" w:rsidR="00F46719" w:rsidRDefault="00F46719">
          <w:pPr>
            <w:pStyle w:val="TDC2"/>
            <w:tabs>
              <w:tab w:val="right" w:leader="dot" w:pos="9678"/>
            </w:tabs>
            <w:rPr>
              <w:noProof/>
            </w:rPr>
          </w:pPr>
          <w:hyperlink w:anchor="_Toc508279635" w:history="1">
            <w:r w:rsidRPr="00C669D1">
              <w:rPr>
                <w:rStyle w:val="Hipervnculo"/>
                <w:rFonts w:cstheme="minorHAnsi"/>
                <w:noProof/>
              </w:rPr>
              <w:t>15. Eventos Posteriores al Cierre:</w:t>
            </w:r>
            <w:r>
              <w:rPr>
                <w:noProof/>
                <w:webHidden/>
              </w:rPr>
              <w:tab/>
            </w:r>
            <w:r>
              <w:rPr>
                <w:noProof/>
                <w:webHidden/>
              </w:rPr>
              <w:fldChar w:fldCharType="begin"/>
            </w:r>
            <w:r>
              <w:rPr>
                <w:noProof/>
                <w:webHidden/>
              </w:rPr>
              <w:instrText xml:space="preserve"> PAGEREF _Toc508279635 \h </w:instrText>
            </w:r>
            <w:r>
              <w:rPr>
                <w:noProof/>
                <w:webHidden/>
              </w:rPr>
            </w:r>
            <w:r>
              <w:rPr>
                <w:noProof/>
                <w:webHidden/>
              </w:rPr>
              <w:fldChar w:fldCharType="separate"/>
            </w:r>
            <w:r w:rsidR="002564C5">
              <w:rPr>
                <w:noProof/>
                <w:webHidden/>
              </w:rPr>
              <w:t>10</w:t>
            </w:r>
            <w:r>
              <w:rPr>
                <w:noProof/>
                <w:webHidden/>
              </w:rPr>
              <w:fldChar w:fldCharType="end"/>
            </w:r>
          </w:hyperlink>
        </w:p>
        <w:p w14:paraId="0A10726F" w14:textId="639C991E" w:rsidR="00F46719" w:rsidRDefault="00F46719">
          <w:pPr>
            <w:pStyle w:val="TDC2"/>
            <w:tabs>
              <w:tab w:val="right" w:leader="dot" w:pos="9678"/>
            </w:tabs>
            <w:rPr>
              <w:noProof/>
            </w:rPr>
          </w:pPr>
          <w:hyperlink w:anchor="_Toc508279636" w:history="1">
            <w:r w:rsidRPr="00C669D1">
              <w:rPr>
                <w:rStyle w:val="Hipervnculo"/>
                <w:rFonts w:cstheme="minorHAnsi"/>
                <w:noProof/>
              </w:rPr>
              <w:t>16. Partes Relacionadas:</w:t>
            </w:r>
            <w:r>
              <w:rPr>
                <w:noProof/>
                <w:webHidden/>
              </w:rPr>
              <w:tab/>
            </w:r>
            <w:r>
              <w:rPr>
                <w:noProof/>
                <w:webHidden/>
              </w:rPr>
              <w:fldChar w:fldCharType="begin"/>
            </w:r>
            <w:r>
              <w:rPr>
                <w:noProof/>
                <w:webHidden/>
              </w:rPr>
              <w:instrText xml:space="preserve"> PAGEREF _Toc508279636 \h </w:instrText>
            </w:r>
            <w:r>
              <w:rPr>
                <w:noProof/>
                <w:webHidden/>
              </w:rPr>
            </w:r>
            <w:r>
              <w:rPr>
                <w:noProof/>
                <w:webHidden/>
              </w:rPr>
              <w:fldChar w:fldCharType="separate"/>
            </w:r>
            <w:r w:rsidR="002564C5">
              <w:rPr>
                <w:noProof/>
                <w:webHidden/>
              </w:rPr>
              <w:t>10</w:t>
            </w:r>
            <w:r>
              <w:rPr>
                <w:noProof/>
                <w:webHidden/>
              </w:rPr>
              <w:fldChar w:fldCharType="end"/>
            </w:r>
          </w:hyperlink>
        </w:p>
        <w:p w14:paraId="3402BC77" w14:textId="00C2170E" w:rsidR="00F46719" w:rsidRDefault="00F46719">
          <w:pPr>
            <w:pStyle w:val="TDC2"/>
            <w:tabs>
              <w:tab w:val="right" w:leader="dot" w:pos="9678"/>
            </w:tabs>
            <w:rPr>
              <w:noProof/>
            </w:rPr>
          </w:pPr>
          <w:hyperlink w:anchor="_Toc508279637" w:history="1">
            <w:r w:rsidRPr="00C669D1">
              <w:rPr>
                <w:rStyle w:val="Hipervnculo"/>
                <w:rFonts w:cstheme="minorHAnsi"/>
                <w:noProof/>
              </w:rPr>
              <w:t>17. Responsabilidad Sobre la Presentación Razonable de la Información Contable:</w:t>
            </w:r>
            <w:r>
              <w:rPr>
                <w:noProof/>
                <w:webHidden/>
              </w:rPr>
              <w:tab/>
            </w:r>
            <w:r>
              <w:rPr>
                <w:noProof/>
                <w:webHidden/>
              </w:rPr>
              <w:fldChar w:fldCharType="begin"/>
            </w:r>
            <w:r>
              <w:rPr>
                <w:noProof/>
                <w:webHidden/>
              </w:rPr>
              <w:instrText xml:space="preserve"> PAGEREF _Toc508279637 \h </w:instrText>
            </w:r>
            <w:r>
              <w:rPr>
                <w:noProof/>
                <w:webHidden/>
              </w:rPr>
            </w:r>
            <w:r>
              <w:rPr>
                <w:noProof/>
                <w:webHidden/>
              </w:rPr>
              <w:fldChar w:fldCharType="separate"/>
            </w:r>
            <w:r w:rsidR="002564C5">
              <w:rPr>
                <w:noProof/>
                <w:webHidden/>
              </w:rPr>
              <w:t>11</w:t>
            </w:r>
            <w:r>
              <w:rPr>
                <w:noProof/>
                <w:webHidden/>
              </w:rPr>
              <w:fldChar w:fldCharType="end"/>
            </w:r>
          </w:hyperlink>
        </w:p>
        <w:p w14:paraId="43551857" w14:textId="63089451" w:rsidR="00F46719" w:rsidRDefault="00F46719">
          <w:r>
            <w:rPr>
              <w:b/>
              <w:bCs/>
              <w:lang w:val="es-ES"/>
            </w:rPr>
            <w:lastRenderedPageBreak/>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6E302492" w14:textId="77777777" w:rsidR="00A577DA" w:rsidRDefault="00A577DA" w:rsidP="00A577DA">
      <w:pPr>
        <w:tabs>
          <w:tab w:val="left" w:leader="underscore" w:pos="9639"/>
        </w:tabs>
        <w:spacing w:after="0" w:line="240" w:lineRule="auto"/>
        <w:jc w:val="both"/>
        <w:rPr>
          <w:rFonts w:cs="Calibri"/>
          <w:color w:val="1F3864" w:themeColor="accent5" w:themeShade="80"/>
        </w:rPr>
      </w:pPr>
    </w:p>
    <w:p w14:paraId="162E5D73" w14:textId="77777777" w:rsidR="00A577DA" w:rsidRDefault="00A577DA" w:rsidP="00A577DA">
      <w:pPr>
        <w:tabs>
          <w:tab w:val="left" w:leader="underscore" w:pos="9639"/>
        </w:tabs>
        <w:spacing w:after="0" w:line="240" w:lineRule="auto"/>
        <w:jc w:val="both"/>
      </w:pPr>
      <w:r w:rsidRPr="00943CE2">
        <w:rPr>
          <w:rFonts w:cs="Calibri"/>
          <w:color w:val="1F3864" w:themeColor="accent5" w:themeShade="80"/>
        </w:rPr>
        <w:t xml:space="preserve">El Municipio de Jaral del Progreso, Gto., realiza en beneficio para su población las siguientes funciones y servicio : </w:t>
      </w:r>
      <w:r w:rsidRPr="00943CE2">
        <w:rPr>
          <w:color w:val="1F3864" w:themeColor="accent5" w:themeShade="80"/>
        </w:rPr>
        <w:t>agua potable, drenaje, alcantarillado, tratamiento y disposición de sus aguas residuales, alumbrado público, limpia, recolección, traslado, tratamiento y disposición final de residuos, mercados y centrales de abasto, panteones, rastro. Calles, parques y jardines y su equipamiento, seguridad pública</w:t>
      </w:r>
      <w:r>
        <w:t>.</w:t>
      </w:r>
    </w:p>
    <w:p w14:paraId="0BC3C631" w14:textId="77777777" w:rsidR="00A577DA" w:rsidRDefault="00A577DA" w:rsidP="00A577DA">
      <w:pPr>
        <w:tabs>
          <w:tab w:val="left" w:leader="underscore" w:pos="9639"/>
        </w:tabs>
        <w:spacing w:after="0" w:line="240" w:lineRule="auto"/>
        <w:jc w:val="both"/>
      </w:pPr>
    </w:p>
    <w:p w14:paraId="70970F3A" w14:textId="77777777" w:rsidR="00A577DA" w:rsidRDefault="00A577DA" w:rsidP="00A577DA">
      <w:pPr>
        <w:tabs>
          <w:tab w:val="left" w:leader="underscore" w:pos="9639"/>
        </w:tabs>
        <w:spacing w:after="0" w:line="240" w:lineRule="auto"/>
        <w:jc w:val="both"/>
        <w:rPr>
          <w:rFonts w:cs="Calibri"/>
          <w:color w:val="1F3864" w:themeColor="accent5" w:themeShade="80"/>
        </w:rPr>
      </w:pPr>
      <w:r w:rsidRPr="005C671F">
        <w:rPr>
          <w:rFonts w:cs="Calibri"/>
          <w:color w:val="1F3864" w:themeColor="accent5" w:themeShade="80"/>
        </w:rPr>
        <w:t>El Municipio para la administración de los recursos públicos cuenta con un sistema integral para el registro de los eventos y operaciones administrativas, financieras y presupuestales, que atiende la normatividad que rigen a los recursos públicos</w:t>
      </w:r>
    </w:p>
    <w:p w14:paraId="7FC5E966" w14:textId="0BBF3D59" w:rsidR="007D1E76" w:rsidRDefault="00A577DA" w:rsidP="00CB41C4">
      <w:pPr>
        <w:tabs>
          <w:tab w:val="left" w:leader="underscore" w:pos="9639"/>
        </w:tabs>
        <w:spacing w:after="0" w:line="240" w:lineRule="auto"/>
        <w:jc w:val="both"/>
        <w:rPr>
          <w:rFonts w:cs="Calibri"/>
        </w:rPr>
      </w:pPr>
      <w:r>
        <w:rPr>
          <w:rFonts w:cs="Calibri"/>
        </w:rPr>
        <w:t xml:space="preserve">                                                                                                                                                                                               </w:t>
      </w:r>
      <w:r w:rsidR="00CB41C4">
        <w:rPr>
          <w:rFonts w:cs="Calibri"/>
        </w:rPr>
        <w:tab/>
      </w: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57562BD0" w14:textId="77777777" w:rsidR="00A577DA" w:rsidRDefault="00A577DA" w:rsidP="00A577DA">
      <w:pPr>
        <w:tabs>
          <w:tab w:val="left" w:leader="underscore" w:pos="9639"/>
        </w:tabs>
        <w:spacing w:after="0" w:line="240" w:lineRule="auto"/>
        <w:jc w:val="both"/>
        <w:rPr>
          <w:rFonts w:cs="Calibri"/>
          <w:color w:val="1F3864" w:themeColor="accent5" w:themeShade="80"/>
        </w:rPr>
      </w:pPr>
    </w:p>
    <w:p w14:paraId="1C7CF63A" w14:textId="6831037D" w:rsidR="00F43602" w:rsidRDefault="009A100D" w:rsidP="00F43602">
      <w:pPr>
        <w:tabs>
          <w:tab w:val="left" w:leader="underscore" w:pos="9639"/>
        </w:tabs>
        <w:spacing w:after="0" w:line="240" w:lineRule="auto"/>
        <w:jc w:val="both"/>
        <w:rPr>
          <w:rFonts w:cs="Calibri"/>
          <w:color w:val="1F3864" w:themeColor="accent5" w:themeShade="80"/>
        </w:rPr>
      </w:pPr>
      <w:r w:rsidRPr="00F43602">
        <w:rPr>
          <w:rFonts w:cs="Calibri"/>
          <w:color w:val="1F3864" w:themeColor="accent5" w:themeShade="80"/>
        </w:rPr>
        <w:t>A continuación, se presentan las perspectivas de las principales variables para 202</w:t>
      </w:r>
      <w:r w:rsidR="004A1B07">
        <w:rPr>
          <w:rFonts w:cs="Calibri"/>
          <w:color w:val="1F3864" w:themeColor="accent5" w:themeShade="80"/>
        </w:rPr>
        <w:t>6</w:t>
      </w:r>
      <w:r w:rsidRPr="00F43602">
        <w:rPr>
          <w:rFonts w:cs="Calibri"/>
          <w:color w:val="1F3864" w:themeColor="accent5" w:themeShade="80"/>
        </w:rPr>
        <w:t>.   </w:t>
      </w:r>
    </w:p>
    <w:p w14:paraId="5BDCAEEE" w14:textId="162B76E5" w:rsidR="009A100D" w:rsidRPr="00F43602" w:rsidRDefault="009A100D" w:rsidP="00F43602">
      <w:pPr>
        <w:tabs>
          <w:tab w:val="left" w:leader="underscore" w:pos="9639"/>
        </w:tabs>
        <w:spacing w:after="0" w:line="240" w:lineRule="auto"/>
        <w:jc w:val="both"/>
        <w:rPr>
          <w:rFonts w:cs="Calibri"/>
          <w:color w:val="1F3864" w:themeColor="accent5" w:themeShade="80"/>
        </w:rPr>
      </w:pPr>
      <w:r w:rsidRPr="00F43602">
        <w:rPr>
          <w:rFonts w:cs="Calibri"/>
          <w:color w:val="1F3864" w:themeColor="accent5" w:themeShade="80"/>
        </w:rPr>
        <w:t>   </w:t>
      </w:r>
    </w:p>
    <w:p w14:paraId="2CB57255" w14:textId="77777777" w:rsidR="004A1B07" w:rsidRDefault="004A1B07" w:rsidP="004A1B07">
      <w:pPr>
        <w:jc w:val="both"/>
      </w:pPr>
      <w:r w:rsidRPr="009E0C2A">
        <w:t xml:space="preserve">Por conducto de la Secretaría de Hacienda y Crédito Público (SHCP), el Ejecutivo Federal remitió al H. Congreso de la Unión el Paquete Económico 2026, del cual se presentan los aspectos relevantes de los Criterios Generales de Política Económica (CGPE-26) con estimaciones de los principales indicadores para el cierre de 2025 y proyecciones para 2026. Para su análisis, el </w:t>
      </w:r>
      <w:r>
        <w:t>Centro de estudios de las finanzas públicas (</w:t>
      </w:r>
      <w:r w:rsidRPr="009E0C2A">
        <w:t>CEFP</w:t>
      </w:r>
      <w:r>
        <w:t>)</w:t>
      </w:r>
      <w:r w:rsidRPr="009E0C2A">
        <w:t xml:space="preserve"> incorpora información adicional como la Encuesta sobre las Expectativas de los Especialistas en Economía recabada por el Banco de México (en adelante Encuesta Banxico) correspondiente al mes de agosto.</w:t>
      </w:r>
    </w:p>
    <w:p w14:paraId="47EFFBFF" w14:textId="77777777" w:rsidR="004A1B07" w:rsidRDefault="004A1B07" w:rsidP="004A1B07">
      <w:pPr>
        <w:jc w:val="both"/>
      </w:pPr>
    </w:p>
    <w:p w14:paraId="5CA34CA9" w14:textId="77777777" w:rsidR="004A1B07" w:rsidRPr="009E0C2A" w:rsidRDefault="004A1B07" w:rsidP="004A1B07">
      <w:pPr>
        <w:jc w:val="both"/>
      </w:pPr>
      <w:r w:rsidRPr="009E0C2A">
        <w:rPr>
          <w:noProof/>
        </w:rPr>
        <w:lastRenderedPageBreak/>
        <w:drawing>
          <wp:inline distT="0" distB="0" distL="0" distR="0" wp14:anchorId="2B03C4A1" wp14:editId="168C6435">
            <wp:extent cx="5357446" cy="4140836"/>
            <wp:effectExtent l="0" t="0" r="0" b="0"/>
            <wp:docPr id="18551654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165497" name=""/>
                    <pic:cNvPicPr/>
                  </pic:nvPicPr>
                  <pic:blipFill>
                    <a:blip r:embed="rId12"/>
                    <a:stretch>
                      <a:fillRect/>
                    </a:stretch>
                  </pic:blipFill>
                  <pic:spPr>
                    <a:xfrm>
                      <a:off x="0" y="0"/>
                      <a:ext cx="5387258" cy="4163878"/>
                    </a:xfrm>
                    <a:prstGeom prst="rect">
                      <a:avLst/>
                    </a:prstGeom>
                  </pic:spPr>
                </pic:pic>
              </a:graphicData>
            </a:graphic>
          </wp:inline>
        </w:drawing>
      </w:r>
    </w:p>
    <w:p w14:paraId="7FC0E63A" w14:textId="77777777" w:rsidR="004A1B07" w:rsidRPr="009E0C2A" w:rsidRDefault="004A1B07" w:rsidP="004A1B07">
      <w:pPr>
        <w:pStyle w:val="Prrafodelista"/>
        <w:numPr>
          <w:ilvl w:val="0"/>
          <w:numId w:val="4"/>
        </w:numPr>
        <w:spacing w:after="160" w:line="278" w:lineRule="auto"/>
        <w:jc w:val="both"/>
        <w:rPr>
          <w:b/>
          <w:bCs/>
        </w:rPr>
      </w:pPr>
      <w:r w:rsidRPr="009E0C2A">
        <w:rPr>
          <w:b/>
          <w:bCs/>
        </w:rPr>
        <w:t>ENTORNO MACROECONÓMICO</w:t>
      </w:r>
    </w:p>
    <w:p w14:paraId="264D426C" w14:textId="77777777" w:rsidR="004A1B07" w:rsidRDefault="004A1B07" w:rsidP="004A1B07">
      <w:pPr>
        <w:jc w:val="both"/>
      </w:pPr>
      <w:r>
        <w:t>En los CGPE-26 se estima, como variable de apoyo para 2025, un crecimiento de la economía de los Estados Unidos de 1.6%, y para 2026, 1.9%, ello, por la acumulación de inventarios y una balanza comercial favorable, ante una posible reducción de la demanda de importaciones y un dólar más débil.</w:t>
      </w:r>
    </w:p>
    <w:p w14:paraId="7CF9ECBE" w14:textId="77777777" w:rsidR="004A1B07" w:rsidRDefault="004A1B07" w:rsidP="004A1B07">
      <w:pPr>
        <w:jc w:val="both"/>
      </w:pPr>
      <w:r>
        <w:t>Los especialistas del sector privado en la encuesta Banxico predicen un incremento de 1.63% para 2025 y un avance de 1.77% para 2026.</w:t>
      </w:r>
    </w:p>
    <w:p w14:paraId="1AFC281E" w14:textId="77777777" w:rsidR="004A1B07" w:rsidRDefault="004A1B07" w:rsidP="004A1B07">
      <w:pPr>
        <w:jc w:val="both"/>
      </w:pPr>
      <w:r>
        <w:t>Se prevé para 2025, que la producción industrial de Estados Unidos aumente 1.0%; debido a menores costos logísticos, una política monetaria menos restrictiva y un posible adelanto de importaciones, lo que beneficiaría a sectores de la economía mexicana altamente integrados.</w:t>
      </w:r>
    </w:p>
    <w:p w14:paraId="569BBA60" w14:textId="77777777" w:rsidR="004A1B07" w:rsidRDefault="004A1B07" w:rsidP="004A1B07">
      <w:pPr>
        <w:jc w:val="both"/>
      </w:pPr>
      <w:r>
        <w:t>Para 2026, se pronostica una expansión de 1.1%, ya que se considera que la producción industrial de EE. UU. se vea favorecida por los incentivos fiscales aprobados.</w:t>
      </w:r>
    </w:p>
    <w:p w14:paraId="2F49C68C" w14:textId="77777777" w:rsidR="004A1B07" w:rsidRDefault="004A1B07" w:rsidP="004A1B07">
      <w:pPr>
        <w:jc w:val="both"/>
      </w:pPr>
      <w:r>
        <w:t>En los CGPE-26, se anticipa que la tasa de inflación promedio de Estados Unidos sea de 3.0% para 2025 y se reduzca a 2.7% para 2026, pese a esta reducción aún se ubicaría por arriba del objetivo de inflación promedio de largo plazo de 2.0% fijado por la Reserva Federal de Estados Unidos (FED). Cabe señalar que, de acuerdo con las expectativas del mercado, la FED estaría flexibilizando su política monetaria, con disminuciones a su tasa de interés de referencia en los próximos meses.</w:t>
      </w:r>
    </w:p>
    <w:p w14:paraId="3C52C240" w14:textId="77777777" w:rsidR="004A1B07" w:rsidRDefault="004A1B07" w:rsidP="004A1B07">
      <w:pPr>
        <w:jc w:val="both"/>
      </w:pPr>
      <w:r>
        <w:lastRenderedPageBreak/>
        <w:t>Para 2025, en los CGPE-26 se considera un rango de crecimiento económico de entre 0.5 y 1.5% (1.0% para efectos de estimación de finanzas públicas). Para 2026, se prevé que la actividad productiva incremente entre 1.8 y 2.8% (2.3% para efectos de estimación de finanzas públicas).</w:t>
      </w:r>
    </w:p>
    <w:p w14:paraId="4DF2DF7A" w14:textId="77777777" w:rsidR="004A1B07" w:rsidRDefault="004A1B07" w:rsidP="004A1B07">
      <w:pPr>
        <w:jc w:val="both"/>
      </w:pPr>
      <w:r>
        <w:t>En la Encuesta Banxico, el sector privado espera que el PIB aumente 0.5% anual en 2024 y 1.3% en 2025.</w:t>
      </w:r>
    </w:p>
    <w:p w14:paraId="79741712" w14:textId="77777777" w:rsidR="004A1B07" w:rsidRDefault="004A1B07" w:rsidP="004A1B07">
      <w:pPr>
        <w:jc w:val="both"/>
      </w:pPr>
      <w:r>
        <w:t>En enero-junio del año en curso, el consumo privado total descendió 0.5% real anual, después de que en igual periodo de 2024 subió 4.1%.</w:t>
      </w:r>
    </w:p>
    <w:p w14:paraId="75A5FFE0" w14:textId="77777777" w:rsidR="004A1B07" w:rsidRDefault="004A1B07" w:rsidP="004A1B07">
      <w:pPr>
        <w:jc w:val="both"/>
      </w:pPr>
      <w:r>
        <w:t>El banco Banamex pronostica que el consumo privado se eleve 0.5% anual en 2025 y se dinamice a 2.2% en 2026, lo que favorecería el mercado interno</w:t>
      </w:r>
    </w:p>
    <w:p w14:paraId="7C563BC4" w14:textId="77777777" w:rsidR="004A1B07" w:rsidRDefault="004A1B07" w:rsidP="004A1B07">
      <w:pPr>
        <w:jc w:val="both"/>
      </w:pPr>
      <w:r>
        <w:t>Los CGPE-26 calculan que la inflación general anual sea de 3.8% al finalizar 2025, cifra por arriba del objetivo inflacionario establecido por el Banco de México (3.0%) y del intervalo de variabilidad (2.0-4.0%). Para el término de 2026, consideran alcance la meta de 3.0%.</w:t>
      </w:r>
    </w:p>
    <w:p w14:paraId="133FD71A" w14:textId="77777777" w:rsidR="004A1B07" w:rsidRDefault="004A1B07" w:rsidP="004A1B07">
      <w:pPr>
        <w:jc w:val="both"/>
      </w:pPr>
      <w:r>
        <w:t>En la Encuesta Banxico, los analistas del sector privado esperan un aumento anual de los precios al consumidor de 4.0% en diciembre de 2025 y de 3.7% en igual mes de 2026.</w:t>
      </w:r>
    </w:p>
    <w:p w14:paraId="132BAE87" w14:textId="77777777" w:rsidR="004A1B07" w:rsidRDefault="004A1B07" w:rsidP="004A1B07">
      <w:pPr>
        <w:jc w:val="both"/>
      </w:pPr>
      <w:r>
        <w:t>En los CGPE-26 se estima que la tasa de interés nominal CETES a 28 días, cierre 2025 en 7.3% y alcance un promedio en el año de 8.4%, mayor a la observada en la última semana de agosto (7.3%), pero menor al promedio del año anterior (10.7%). Para el cierre de 2026, se prevé una tasa de interés nominal de 6.0% y una tasa promedio de 6.6% para todo 2026.</w:t>
      </w:r>
    </w:p>
    <w:p w14:paraId="0DD33FB9" w14:textId="77777777" w:rsidR="004A1B07" w:rsidRDefault="004A1B07" w:rsidP="004A1B07">
      <w:pPr>
        <w:jc w:val="both"/>
      </w:pPr>
      <w:r>
        <w:t>Los especialistas consultados por el Banco de México pronostican una tasa de interés nominal de 7.3% para cierre de 2025, cifra idéntica a la estimada en CGPE-26; y de 6.7% para el cierre de 2026, d</w:t>
      </w:r>
      <w:r w:rsidRPr="009E0C2A">
        <w:t>ato superior a la de CGPE-26 (6.0%).</w:t>
      </w:r>
    </w:p>
    <w:p w14:paraId="7C40450A" w14:textId="77777777" w:rsidR="004A1B07" w:rsidRDefault="004A1B07" w:rsidP="004A1B07">
      <w:pPr>
        <w:jc w:val="both"/>
      </w:pPr>
      <w:r>
        <w:t>Los CGPE-26 anticipan que, para el cierre de 2025, la paridad cambiaria se ubicará en 19.9 ppd y el promedio del año será de 19.6 ppd, cifra mayor a la observada en el cierre de agosto (18.6 ppd), y al promedio registrado en 2024 (18.3 ppd). Para el cierre de 2026, se proyecta que el tipo de cambio sea de 18.9 pdd y promedie 19.3 ppd</w:t>
      </w:r>
    </w:p>
    <w:p w14:paraId="48A5909C" w14:textId="77777777" w:rsidR="004A1B07" w:rsidRDefault="004A1B07" w:rsidP="004A1B07">
      <w:pPr>
        <w:jc w:val="both"/>
      </w:pPr>
      <w:r>
        <w:t>Los especialistas del sector privado suponen un tipo de cambio de 19.5 ppd para el cierre de 2025 (19.9 ppd en los CGPE-26) y de 20.0 ppd al término de 2026, cifra por arriba a lo que estimado en CGPE-26 (18.9 ppd)</w:t>
      </w:r>
    </w:p>
    <w:p w14:paraId="12A993CE" w14:textId="77777777" w:rsidR="004A1B07" w:rsidRDefault="004A1B07" w:rsidP="004A1B07">
      <w:pPr>
        <w:jc w:val="both"/>
      </w:pPr>
      <w:r>
        <w:t>En los CGPE-26 se estima un precio promedio para 2025 y 2026 de 62.0 y 54.9 dpb, en ese orden.</w:t>
      </w:r>
    </w:p>
    <w:p w14:paraId="0E98053B" w14:textId="77777777" w:rsidR="004A1B07" w:rsidRDefault="004A1B07" w:rsidP="004A1B07">
      <w:pPr>
        <w:jc w:val="both"/>
      </w:pPr>
      <w:r>
        <w:t>En su informe de Perspectiva Semanal del 28 de agosto, Banamex prevé que, al cierre de 2025, el precio del petróleo se ubique en 62.0 dpb y para 2026 en 55.0 dpb, niveles cercanos a lo pronosticado en CGPE-26.</w:t>
      </w:r>
    </w:p>
    <w:p w14:paraId="790D4F2B" w14:textId="77777777" w:rsidR="004A1B07" w:rsidRPr="009E0C2A" w:rsidRDefault="004A1B07" w:rsidP="004A1B07">
      <w:pPr>
        <w:pStyle w:val="Prrafodelista"/>
        <w:numPr>
          <w:ilvl w:val="0"/>
          <w:numId w:val="4"/>
        </w:numPr>
        <w:spacing w:after="160" w:line="278" w:lineRule="auto"/>
        <w:jc w:val="both"/>
        <w:rPr>
          <w:b/>
          <w:bCs/>
        </w:rPr>
      </w:pPr>
      <w:r w:rsidRPr="009E0C2A">
        <w:rPr>
          <w:b/>
          <w:bCs/>
        </w:rPr>
        <w:t>BALANCE DE RIESGOS</w:t>
      </w:r>
    </w:p>
    <w:p w14:paraId="0EA3214E" w14:textId="77777777" w:rsidR="004A1B07" w:rsidRDefault="004A1B07" w:rsidP="004A1B07">
      <w:pPr>
        <w:jc w:val="both"/>
      </w:pPr>
      <w:r>
        <w:t>Para 2026, los CGPE-26 resaltan los siguientes riesgos que podrían afectar el crecimiento estimado:</w:t>
      </w:r>
    </w:p>
    <w:p w14:paraId="23416A68" w14:textId="77777777" w:rsidR="004A1B07" w:rsidRDefault="004A1B07" w:rsidP="004A1B07">
      <w:pPr>
        <w:pStyle w:val="Prrafodelista"/>
        <w:numPr>
          <w:ilvl w:val="0"/>
          <w:numId w:val="5"/>
        </w:numPr>
        <w:spacing w:after="160" w:line="278" w:lineRule="auto"/>
        <w:jc w:val="both"/>
      </w:pPr>
      <w:r>
        <w:lastRenderedPageBreak/>
        <w:t>La alta incertidumbre en el comercio global, que podría provocar disrupciones productivas y afectar a la economía interna.</w:t>
      </w:r>
    </w:p>
    <w:p w14:paraId="1F9BCCAF" w14:textId="77777777" w:rsidR="004A1B07" w:rsidRDefault="004A1B07" w:rsidP="004A1B07">
      <w:pPr>
        <w:pStyle w:val="Prrafodelista"/>
        <w:numPr>
          <w:ilvl w:val="0"/>
          <w:numId w:val="5"/>
        </w:numPr>
        <w:spacing w:after="160" w:line="278" w:lineRule="auto"/>
        <w:jc w:val="both"/>
      </w:pPr>
      <w:r>
        <w:t>El deterioro en la revisión del T-MEC que eleven la incertidumbre normativa y comercial, generando condiciones adversas para el desempeño del sector exportador.</w:t>
      </w:r>
    </w:p>
    <w:p w14:paraId="37081231" w14:textId="77777777" w:rsidR="004A1B07" w:rsidRDefault="004A1B07" w:rsidP="004A1B07">
      <w:pPr>
        <w:pStyle w:val="Prrafodelista"/>
        <w:numPr>
          <w:ilvl w:val="0"/>
          <w:numId w:val="5"/>
        </w:numPr>
        <w:spacing w:after="160" w:line="278" w:lineRule="auto"/>
        <w:jc w:val="both"/>
      </w:pPr>
      <w:r>
        <w:t>Presiones inflacionarias derivadas de cambios en la política comercial global, que podrían restringir las condiciones financieras, elevar las tasas de interés y aumentar la volatilidad en los mercados.</w:t>
      </w:r>
    </w:p>
    <w:p w14:paraId="4BAEB99E" w14:textId="77777777" w:rsidR="004A1B07" w:rsidRDefault="004A1B07" w:rsidP="004A1B07">
      <w:pPr>
        <w:pStyle w:val="Prrafodelista"/>
        <w:numPr>
          <w:ilvl w:val="0"/>
          <w:numId w:val="5"/>
        </w:numPr>
        <w:spacing w:after="160" w:line="278" w:lineRule="auto"/>
        <w:jc w:val="both"/>
      </w:pPr>
      <w:r>
        <w:t>El agravamiento de las tensiones geopolíticas y comerciales, que propicien un incremento de la volatilidad en los mercados financieros.</w:t>
      </w:r>
    </w:p>
    <w:p w14:paraId="0913B7BF" w14:textId="77777777" w:rsidR="004A1B07" w:rsidRDefault="004A1B07" w:rsidP="004A1B07">
      <w:pPr>
        <w:pStyle w:val="Prrafodelista"/>
        <w:numPr>
          <w:ilvl w:val="0"/>
          <w:numId w:val="5"/>
        </w:numPr>
        <w:spacing w:after="160" w:line="278" w:lineRule="auto"/>
        <w:jc w:val="both"/>
      </w:pPr>
      <w:r>
        <w:t>El impacto del cambio climático, que genere presiones inflacionarias y repercuta en la capacidad productiva.</w:t>
      </w:r>
    </w:p>
    <w:p w14:paraId="547CC997" w14:textId="77777777" w:rsidR="004A1B07" w:rsidRDefault="004A1B07" w:rsidP="004A1B07">
      <w:pPr>
        <w:pStyle w:val="Prrafodelista"/>
        <w:numPr>
          <w:ilvl w:val="0"/>
          <w:numId w:val="5"/>
        </w:numPr>
        <w:spacing w:after="160" w:line="278" w:lineRule="auto"/>
        <w:jc w:val="both"/>
      </w:pPr>
      <w:r>
        <w:t>La desaceleración económica en EE.UU., causada por tensiones comerciales o menor demanda interna, que perjudique a las exportaciones mexicanas, el turismo y las remesas.</w:t>
      </w:r>
    </w:p>
    <w:p w14:paraId="103F6857" w14:textId="524E9054" w:rsidR="00F43602" w:rsidRDefault="004A1B07" w:rsidP="004A1B07">
      <w:pPr>
        <w:tabs>
          <w:tab w:val="left" w:leader="underscore" w:pos="9639"/>
        </w:tabs>
        <w:spacing w:after="0" w:line="240" w:lineRule="auto"/>
        <w:jc w:val="both"/>
        <w:rPr>
          <w:rFonts w:cs="Calibri"/>
          <w:color w:val="1F3864" w:themeColor="accent5" w:themeShade="80"/>
        </w:rPr>
      </w:pPr>
      <w:r>
        <w:t>Disrupciones adicionales en los flujos internacionales de abastecimiento, que afectan a la producción industrial.</w:t>
      </w:r>
    </w:p>
    <w:p w14:paraId="24460188" w14:textId="77777777" w:rsidR="004A1B07" w:rsidRDefault="004A1B07" w:rsidP="009F7901">
      <w:pPr>
        <w:tabs>
          <w:tab w:val="left" w:leader="underscore" w:pos="9639"/>
        </w:tabs>
        <w:spacing w:after="0" w:line="240" w:lineRule="auto"/>
        <w:jc w:val="both"/>
        <w:rPr>
          <w:rFonts w:cs="Calibri"/>
          <w:color w:val="1F3864" w:themeColor="accent5" w:themeShade="80"/>
        </w:rPr>
      </w:pPr>
    </w:p>
    <w:p w14:paraId="71776C00" w14:textId="77777777" w:rsidR="00A577DA" w:rsidRPr="00E74967" w:rsidRDefault="00A577DA"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433B18CD" w14:textId="77777777" w:rsidR="00A577DA" w:rsidRDefault="00A577DA" w:rsidP="00A577DA">
      <w:pPr>
        <w:tabs>
          <w:tab w:val="left" w:leader="underscore" w:pos="9639"/>
        </w:tabs>
        <w:spacing w:after="0" w:line="240" w:lineRule="auto"/>
        <w:jc w:val="both"/>
        <w:rPr>
          <w:rFonts w:cs="Calibri"/>
          <w:color w:val="1F3864" w:themeColor="accent5" w:themeShade="80"/>
        </w:rPr>
      </w:pPr>
    </w:p>
    <w:p w14:paraId="2F9956C2" w14:textId="77777777" w:rsidR="00A577DA" w:rsidRPr="00A5236F" w:rsidRDefault="00A577DA" w:rsidP="00A577DA">
      <w:pPr>
        <w:tabs>
          <w:tab w:val="left" w:leader="underscore" w:pos="9639"/>
        </w:tabs>
        <w:spacing w:after="0" w:line="240" w:lineRule="auto"/>
        <w:jc w:val="both"/>
        <w:rPr>
          <w:rFonts w:cs="Calibri"/>
          <w:color w:val="1F3864" w:themeColor="accent5" w:themeShade="80"/>
        </w:rPr>
      </w:pPr>
      <w:r w:rsidRPr="00A5236F">
        <w:rPr>
          <w:rFonts w:cs="Calibri"/>
          <w:color w:val="1F3864" w:themeColor="accent5" w:themeShade="80"/>
        </w:rPr>
        <w:t>01 de enero de 1985</w:t>
      </w:r>
    </w:p>
    <w:p w14:paraId="28A2217A" w14:textId="77777777" w:rsidR="00A577DA" w:rsidRPr="00E74967" w:rsidRDefault="00A577DA" w:rsidP="00A577DA">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D33557A" w14:textId="77777777" w:rsidR="00A577DA" w:rsidRDefault="00A577DA" w:rsidP="00A577DA">
      <w:pPr>
        <w:tabs>
          <w:tab w:val="left" w:leader="underscore" w:pos="9639"/>
        </w:tabs>
        <w:spacing w:after="0" w:line="240" w:lineRule="auto"/>
        <w:jc w:val="both"/>
        <w:rPr>
          <w:rFonts w:cs="Calibri"/>
          <w:color w:val="1F3864" w:themeColor="accent5" w:themeShade="80"/>
        </w:rPr>
      </w:pPr>
    </w:p>
    <w:p w14:paraId="69177046" w14:textId="77777777" w:rsidR="00A577DA" w:rsidRDefault="00A577DA" w:rsidP="00A577DA">
      <w:pPr>
        <w:tabs>
          <w:tab w:val="left" w:leader="underscore" w:pos="9639"/>
        </w:tabs>
        <w:spacing w:after="0" w:line="240" w:lineRule="auto"/>
        <w:jc w:val="both"/>
        <w:rPr>
          <w:rFonts w:cs="Calibri"/>
          <w:color w:val="1F3864" w:themeColor="accent5" w:themeShade="80"/>
        </w:rPr>
      </w:pPr>
      <w:r w:rsidRPr="00A5236F">
        <w:rPr>
          <w:rFonts w:cs="Calibri"/>
          <w:color w:val="1F3864" w:themeColor="accent5" w:themeShade="80"/>
        </w:rPr>
        <w:t>Modificaciones en el Reglamento Orgánico de la Administración Pública Municipal de Jaral de Progreso en el ejercicio fiscal 2021 no se observa.</w:t>
      </w:r>
    </w:p>
    <w:p w14:paraId="4562FD77" w14:textId="77777777" w:rsidR="00A577DA" w:rsidRDefault="00A577DA" w:rsidP="00A577DA">
      <w:pPr>
        <w:tabs>
          <w:tab w:val="left" w:leader="underscore" w:pos="9639"/>
        </w:tabs>
        <w:spacing w:after="0" w:line="240" w:lineRule="auto"/>
        <w:jc w:val="both"/>
        <w:rPr>
          <w:rFonts w:cs="Calibri"/>
          <w:color w:val="1F3864" w:themeColor="accent5" w:themeShade="80"/>
        </w:rPr>
      </w:pPr>
    </w:p>
    <w:p w14:paraId="01A29766" w14:textId="77777777" w:rsidR="00A577DA" w:rsidRPr="00A5236F" w:rsidRDefault="00A577DA" w:rsidP="00A577DA">
      <w:pPr>
        <w:tabs>
          <w:tab w:val="left" w:leader="underscore" w:pos="9639"/>
        </w:tabs>
        <w:spacing w:after="0" w:line="240" w:lineRule="auto"/>
        <w:jc w:val="both"/>
        <w:rPr>
          <w:rFonts w:cs="Calibri"/>
          <w:color w:val="1F3864" w:themeColor="accent5" w:themeShade="80"/>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550E41EC" w14:textId="77777777" w:rsidR="00A577DA" w:rsidRDefault="00A577DA" w:rsidP="00A577DA">
      <w:pPr>
        <w:tabs>
          <w:tab w:val="left" w:leader="underscore" w:pos="9639"/>
        </w:tabs>
        <w:spacing w:after="0" w:line="240" w:lineRule="auto"/>
        <w:jc w:val="both"/>
        <w:rPr>
          <w:rFonts w:cs="Calibri"/>
          <w:color w:val="1F3864" w:themeColor="accent5" w:themeShade="80"/>
        </w:rPr>
      </w:pPr>
    </w:p>
    <w:p w14:paraId="6291ED49" w14:textId="77777777" w:rsidR="00A577DA" w:rsidRPr="00A5236F" w:rsidRDefault="00A577DA" w:rsidP="00A577DA">
      <w:pPr>
        <w:tabs>
          <w:tab w:val="left" w:leader="underscore" w:pos="9639"/>
        </w:tabs>
        <w:spacing w:after="0" w:line="240" w:lineRule="auto"/>
        <w:jc w:val="both"/>
        <w:rPr>
          <w:rFonts w:cs="Calibri"/>
          <w:color w:val="1F3864" w:themeColor="accent5" w:themeShade="80"/>
        </w:rPr>
      </w:pPr>
      <w:r w:rsidRPr="00A5236F">
        <w:rPr>
          <w:rFonts w:cs="Calibri"/>
          <w:color w:val="1F3864" w:themeColor="accent5" w:themeShade="80"/>
        </w:rPr>
        <w:t>Proveedor de los servicios públicos necesarios para la población del municipio, utilizando para ello los recursos fiscales, participaciones y aportaciones federales y estatales.</w:t>
      </w:r>
    </w:p>
    <w:p w14:paraId="6E808F81" w14:textId="77777777" w:rsidR="00A577DA" w:rsidRDefault="00A577DA"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78C6549C" w14:textId="77777777" w:rsidR="00A577DA" w:rsidRDefault="00A577DA" w:rsidP="00A577DA">
      <w:pPr>
        <w:tabs>
          <w:tab w:val="left" w:leader="underscore" w:pos="9639"/>
        </w:tabs>
        <w:spacing w:after="0" w:line="240" w:lineRule="auto"/>
        <w:jc w:val="both"/>
        <w:rPr>
          <w:rFonts w:cs="Calibri"/>
          <w:color w:val="1F3864" w:themeColor="accent5" w:themeShade="80"/>
        </w:rPr>
      </w:pPr>
    </w:p>
    <w:p w14:paraId="3999A532" w14:textId="77777777" w:rsidR="00A577DA" w:rsidRDefault="00A577DA" w:rsidP="00A577DA">
      <w:pPr>
        <w:tabs>
          <w:tab w:val="left" w:leader="underscore" w:pos="9639"/>
        </w:tabs>
        <w:spacing w:after="0" w:line="240" w:lineRule="auto"/>
        <w:jc w:val="both"/>
        <w:rPr>
          <w:rFonts w:cs="Calibri"/>
        </w:rPr>
      </w:pPr>
      <w:r w:rsidRPr="00A5236F">
        <w:rPr>
          <w:rFonts w:cs="Calibri"/>
          <w:color w:val="1F3864" w:themeColor="accent5" w:themeShade="80"/>
        </w:rPr>
        <w:t>Administración Pública Municipal en general</w:t>
      </w:r>
      <w:r>
        <w:rPr>
          <w:rFonts w:cs="Calibri"/>
        </w:rPr>
        <w:t>.</w:t>
      </w:r>
    </w:p>
    <w:p w14:paraId="56634F99" w14:textId="77777777" w:rsidR="00A577DA" w:rsidRDefault="00A577DA" w:rsidP="00CB41C4">
      <w:pPr>
        <w:tabs>
          <w:tab w:val="left" w:leader="underscore" w:pos="9639"/>
        </w:tabs>
        <w:spacing w:after="0" w:line="240" w:lineRule="auto"/>
        <w:jc w:val="both"/>
        <w:rPr>
          <w:rFonts w:cs="Calibri"/>
        </w:rPr>
      </w:pPr>
    </w:p>
    <w:p w14:paraId="2D21CE61" w14:textId="47C1AE54"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3AF171A8" w14:textId="77777777" w:rsidR="00A577DA" w:rsidRDefault="00A577DA" w:rsidP="00CB41C4">
      <w:pPr>
        <w:tabs>
          <w:tab w:val="left" w:leader="underscore" w:pos="9639"/>
        </w:tabs>
        <w:spacing w:after="0" w:line="240" w:lineRule="auto"/>
        <w:jc w:val="both"/>
        <w:rPr>
          <w:rFonts w:cs="Calibri"/>
        </w:rPr>
      </w:pPr>
    </w:p>
    <w:p w14:paraId="5BA20209" w14:textId="0EE51E9D" w:rsidR="00A577DA" w:rsidRPr="00A577DA" w:rsidRDefault="00A577DA" w:rsidP="00CB41C4">
      <w:pPr>
        <w:tabs>
          <w:tab w:val="left" w:leader="underscore" w:pos="9639"/>
        </w:tabs>
        <w:spacing w:after="0" w:line="240" w:lineRule="auto"/>
        <w:jc w:val="both"/>
        <w:rPr>
          <w:rFonts w:cs="Calibri"/>
          <w:color w:val="1F3864" w:themeColor="accent5" w:themeShade="80"/>
        </w:rPr>
      </w:pPr>
      <w:r w:rsidRPr="00A577DA">
        <w:rPr>
          <w:rFonts w:cs="Calibri"/>
          <w:color w:val="1F3864" w:themeColor="accent5" w:themeShade="80"/>
        </w:rPr>
        <w:t>Enero a diciembre 202</w:t>
      </w:r>
      <w:r w:rsidR="00712A62">
        <w:rPr>
          <w:rFonts w:cs="Calibri"/>
          <w:color w:val="1F3864" w:themeColor="accent5" w:themeShade="80"/>
        </w:rPr>
        <w:t>6</w:t>
      </w:r>
    </w:p>
    <w:p w14:paraId="71350276" w14:textId="77777777" w:rsidR="00A577DA" w:rsidRPr="00E74967" w:rsidRDefault="00A577DA"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47FB75A7" w14:textId="77777777" w:rsidR="00A577DA" w:rsidRDefault="00A577DA" w:rsidP="00A577DA">
      <w:pPr>
        <w:tabs>
          <w:tab w:val="left" w:leader="underscore" w:pos="9639"/>
        </w:tabs>
        <w:spacing w:after="0" w:line="240" w:lineRule="auto"/>
        <w:jc w:val="both"/>
        <w:rPr>
          <w:rFonts w:cs="Calibri"/>
          <w:color w:val="1F3864" w:themeColor="accent5" w:themeShade="80"/>
        </w:rPr>
      </w:pPr>
    </w:p>
    <w:p w14:paraId="35A2F771" w14:textId="77777777" w:rsidR="00A577DA" w:rsidRDefault="00A577DA" w:rsidP="00A577DA">
      <w:pPr>
        <w:tabs>
          <w:tab w:val="left" w:leader="underscore" w:pos="9639"/>
        </w:tabs>
        <w:spacing w:after="0" w:line="240" w:lineRule="auto"/>
        <w:jc w:val="both"/>
        <w:rPr>
          <w:rFonts w:cs="Calibri"/>
          <w:color w:val="1F3864" w:themeColor="accent5" w:themeShade="80"/>
        </w:rPr>
      </w:pPr>
      <w:r w:rsidRPr="00B34110">
        <w:rPr>
          <w:rFonts w:cs="Calibri"/>
          <w:color w:val="1F3864" w:themeColor="accent5" w:themeShade="80"/>
        </w:rPr>
        <w:t>Personas morales con fines no Lucrativos</w:t>
      </w:r>
    </w:p>
    <w:p w14:paraId="72FCDA41" w14:textId="77777777" w:rsidR="00AC77A3" w:rsidRPr="00B34110" w:rsidRDefault="00AC77A3" w:rsidP="00A577DA">
      <w:pPr>
        <w:tabs>
          <w:tab w:val="left" w:leader="underscore" w:pos="9639"/>
        </w:tabs>
        <w:spacing w:after="0" w:line="240" w:lineRule="auto"/>
        <w:jc w:val="both"/>
        <w:rPr>
          <w:rFonts w:cs="Calibri"/>
          <w:color w:val="1F3864" w:themeColor="accent5" w:themeShade="80"/>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4CBDF76A" w14:textId="77777777" w:rsidR="00AC77A3" w:rsidRDefault="00AC77A3" w:rsidP="00CB41C4">
      <w:pPr>
        <w:tabs>
          <w:tab w:val="left" w:leader="underscore" w:pos="9639"/>
        </w:tabs>
        <w:spacing w:after="0" w:line="240" w:lineRule="auto"/>
        <w:jc w:val="both"/>
        <w:rPr>
          <w:rFonts w:cs="Calibri"/>
        </w:rPr>
      </w:pPr>
    </w:p>
    <w:p w14:paraId="2EC97361" w14:textId="77777777" w:rsidR="00AC77A3" w:rsidRPr="004903D2" w:rsidRDefault="00AC77A3" w:rsidP="00AC77A3">
      <w:pPr>
        <w:pStyle w:val="Prrafodelista"/>
        <w:numPr>
          <w:ilvl w:val="0"/>
          <w:numId w:val="3"/>
        </w:numPr>
        <w:tabs>
          <w:tab w:val="left" w:leader="underscore" w:pos="9639"/>
        </w:tabs>
        <w:spacing w:after="0" w:line="240" w:lineRule="auto"/>
        <w:jc w:val="both"/>
        <w:rPr>
          <w:rFonts w:cs="Calibri"/>
          <w:color w:val="1F3864" w:themeColor="accent5" w:themeShade="80"/>
        </w:rPr>
      </w:pPr>
      <w:r w:rsidRPr="004903D2">
        <w:rPr>
          <w:rFonts w:cs="Calibri"/>
          <w:color w:val="1F3864" w:themeColor="accent5" w:themeShade="80"/>
        </w:rPr>
        <w:t>Retención de ISR por Sueldos y Salarios, Retenciones de ISR por servicios, Retenciones de ISR por Arrendamientos.</w:t>
      </w:r>
    </w:p>
    <w:p w14:paraId="015C09DD" w14:textId="77777777" w:rsidR="00AC77A3" w:rsidRPr="004903D2" w:rsidRDefault="00AC77A3" w:rsidP="00AC77A3">
      <w:pPr>
        <w:tabs>
          <w:tab w:val="left" w:leader="underscore" w:pos="9639"/>
        </w:tabs>
        <w:spacing w:after="0" w:line="240" w:lineRule="auto"/>
        <w:jc w:val="both"/>
        <w:rPr>
          <w:rFonts w:cs="Calibri"/>
          <w:color w:val="1F3864" w:themeColor="accent5" w:themeShade="80"/>
        </w:rPr>
      </w:pPr>
    </w:p>
    <w:p w14:paraId="42F30A8C" w14:textId="77777777" w:rsidR="00AC77A3" w:rsidRPr="004903D2" w:rsidRDefault="00AC77A3" w:rsidP="00AC77A3">
      <w:pPr>
        <w:pStyle w:val="Prrafodelista"/>
        <w:numPr>
          <w:ilvl w:val="0"/>
          <w:numId w:val="3"/>
        </w:numPr>
        <w:tabs>
          <w:tab w:val="left" w:leader="underscore" w:pos="9639"/>
        </w:tabs>
        <w:spacing w:after="0" w:line="240" w:lineRule="auto"/>
        <w:jc w:val="both"/>
        <w:rPr>
          <w:rFonts w:cs="Calibri"/>
        </w:rPr>
      </w:pPr>
      <w:r w:rsidRPr="004903D2">
        <w:rPr>
          <w:rFonts w:cs="Calibri"/>
          <w:color w:val="1F3864" w:themeColor="accent5" w:themeShade="80"/>
        </w:rPr>
        <w:t>Impuesto Sobre Nómina, Retenciones del Impuesto Cedular por Servicios Profesionales, Retenciones del Impuesto Cedular por Arrendamientos de Bienes</w:t>
      </w:r>
      <w:r w:rsidRPr="004903D2">
        <w:rPr>
          <w:rFonts w:cs="Calibri"/>
        </w:rPr>
        <w:t>.</w:t>
      </w:r>
    </w:p>
    <w:p w14:paraId="00E87D99" w14:textId="77777777" w:rsidR="00AC77A3" w:rsidRDefault="00AC77A3"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9E33CE4"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5D8EC092" w14:textId="77777777" w:rsidR="00AC77A3" w:rsidRPr="00E74967" w:rsidRDefault="00AC77A3" w:rsidP="00AC77A3">
      <w:pPr>
        <w:tabs>
          <w:tab w:val="left" w:leader="underscore" w:pos="9639"/>
        </w:tabs>
        <w:spacing w:after="0" w:line="240" w:lineRule="auto"/>
        <w:jc w:val="both"/>
        <w:rPr>
          <w:rFonts w:cs="Calibri"/>
        </w:rPr>
      </w:pPr>
      <w:r w:rsidRPr="004903D2">
        <w:rPr>
          <w:rFonts w:cs="Calibri"/>
          <w:color w:val="1F3864" w:themeColor="accent5" w:themeShade="80"/>
        </w:rPr>
        <w:t>El municipio no cuenta con fideicomisos</w:t>
      </w:r>
    </w:p>
    <w:p w14:paraId="5DA3C2BB" w14:textId="77777777" w:rsidR="00AC77A3" w:rsidRDefault="00AC77A3" w:rsidP="000C3365">
      <w:pPr>
        <w:pStyle w:val="Ttulo2"/>
        <w:rPr>
          <w:rFonts w:asciiTheme="minorHAnsi" w:hAnsiTheme="minorHAnsi" w:cstheme="minorHAnsi"/>
          <w:b/>
          <w:color w:val="auto"/>
          <w:sz w:val="22"/>
        </w:rPr>
      </w:pPr>
      <w:bookmarkStart w:id="4" w:name="_Toc508279625"/>
    </w:p>
    <w:p w14:paraId="12E280BB" w14:textId="77777777"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0E4A14D" w14:textId="77777777" w:rsidR="00AC77A3" w:rsidRDefault="00AC77A3" w:rsidP="00CB41C4">
      <w:pPr>
        <w:tabs>
          <w:tab w:val="left" w:leader="underscore" w:pos="9639"/>
        </w:tabs>
        <w:spacing w:after="0" w:line="240" w:lineRule="auto"/>
        <w:jc w:val="both"/>
        <w:rPr>
          <w:rFonts w:cs="Calibri"/>
          <w:color w:val="1F3864" w:themeColor="accent5" w:themeShade="80"/>
        </w:rPr>
      </w:pPr>
    </w:p>
    <w:p w14:paraId="58B00679" w14:textId="1E0CDC8B" w:rsidR="007D1E76" w:rsidRDefault="00AC77A3" w:rsidP="00CB41C4">
      <w:pPr>
        <w:tabs>
          <w:tab w:val="left" w:leader="underscore" w:pos="9639"/>
        </w:tabs>
        <w:spacing w:after="0" w:line="240" w:lineRule="auto"/>
        <w:jc w:val="both"/>
        <w:rPr>
          <w:rFonts w:cs="Calibri"/>
        </w:rPr>
      </w:pPr>
      <w:r w:rsidRPr="004903D2">
        <w:rPr>
          <w:rFonts w:cs="Calibri"/>
          <w:color w:val="1F3864" w:themeColor="accent5" w:themeShade="80"/>
        </w:rPr>
        <w:t>El registro y la información financiera atiende los dispuesto por la Ley General de Contabilidad Gubernamental, los documentos emitidos por Consejo Nacional de Armonización Contable así como las Disposiciones de Ley de Disciplina Financiera y la Ley para el Ejercicio y Control de los Recursos Públicos para el Estado y Los Municipios de Guanajuato</w:t>
      </w:r>
    </w:p>
    <w:p w14:paraId="6E75849A" w14:textId="77777777" w:rsidR="00AC77A3" w:rsidRPr="00E74967" w:rsidRDefault="00AC77A3"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22FBEFE7" w14:textId="77777777" w:rsidR="00AC77A3" w:rsidRDefault="00AC77A3" w:rsidP="00AC77A3">
      <w:pPr>
        <w:tabs>
          <w:tab w:val="left" w:leader="underscore" w:pos="9639"/>
        </w:tabs>
        <w:spacing w:after="0" w:line="240" w:lineRule="auto"/>
        <w:jc w:val="both"/>
        <w:rPr>
          <w:color w:val="1F3864" w:themeColor="accent5" w:themeShade="80"/>
        </w:rPr>
      </w:pPr>
    </w:p>
    <w:p w14:paraId="5F7B947A" w14:textId="77777777" w:rsidR="00AC77A3" w:rsidRPr="001974BE" w:rsidRDefault="00AC77A3" w:rsidP="00AC77A3">
      <w:pPr>
        <w:tabs>
          <w:tab w:val="left" w:leader="underscore" w:pos="9639"/>
        </w:tabs>
        <w:spacing w:after="0" w:line="240" w:lineRule="auto"/>
        <w:jc w:val="both"/>
        <w:rPr>
          <w:color w:val="1F3864" w:themeColor="accent5" w:themeShade="80"/>
        </w:rPr>
      </w:pPr>
      <w:r w:rsidRPr="001974BE">
        <w:rPr>
          <w:color w:val="1F3864" w:themeColor="accent5" w:themeShade="80"/>
        </w:rPr>
        <w:t>Si cumple con la normativa aplicable de reconocimiento,</w:t>
      </w:r>
      <w:r w:rsidRPr="001974BE">
        <w:rPr>
          <w:rFonts w:cs="Calibri"/>
          <w:color w:val="1F3864" w:themeColor="accent5" w:themeShade="80"/>
        </w:rPr>
        <w:t xml:space="preserve"> valuación y revelación de los diferentes rubros de la información financiera</w:t>
      </w:r>
    </w:p>
    <w:p w14:paraId="1F9EE54B" w14:textId="362F33C1" w:rsidR="007D1E76" w:rsidRPr="00E74967" w:rsidRDefault="007D1E76" w:rsidP="00CB41C4">
      <w:pPr>
        <w:tabs>
          <w:tab w:val="left" w:leader="underscore" w:pos="9639"/>
        </w:tabs>
        <w:spacing w:after="0" w:line="240" w:lineRule="auto"/>
        <w:jc w:val="both"/>
        <w:rPr>
          <w:rFonts w:cs="Calibri"/>
        </w:rPr>
      </w:pP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717A3BAF" w14:textId="77777777" w:rsidR="00AC77A3" w:rsidRPr="00E74967" w:rsidRDefault="00AC77A3" w:rsidP="00AC77A3">
      <w:pPr>
        <w:tabs>
          <w:tab w:val="left" w:leader="underscore" w:pos="9639"/>
        </w:tabs>
        <w:spacing w:after="0" w:line="240" w:lineRule="auto"/>
        <w:jc w:val="both"/>
        <w:rPr>
          <w:rFonts w:cs="Calibri"/>
        </w:rPr>
      </w:pPr>
      <w:r w:rsidRPr="001974BE">
        <w:rPr>
          <w:color w:val="1F3864" w:themeColor="accent5" w:themeShade="80"/>
        </w:rPr>
        <w:lastRenderedPageBreak/>
        <w:t>Para el registro</w:t>
      </w:r>
      <w:r>
        <w:rPr>
          <w:color w:val="1F3864" w:themeColor="accent5" w:themeShade="80"/>
        </w:rPr>
        <w:t xml:space="preserve"> de las operaciones </w:t>
      </w:r>
      <w:r w:rsidRPr="001974BE">
        <w:rPr>
          <w:color w:val="1F3864" w:themeColor="accent5" w:themeShade="80"/>
        </w:rPr>
        <w:t>y elaboración de la información fina</w:t>
      </w:r>
      <w:r>
        <w:rPr>
          <w:color w:val="1F3864" w:themeColor="accent5" w:themeShade="80"/>
        </w:rPr>
        <w:t xml:space="preserve">nciera del municipio se realiza de conformidad con </w:t>
      </w:r>
      <w:r w:rsidRPr="001974BE">
        <w:rPr>
          <w:color w:val="1F3864" w:themeColor="accent5" w:themeShade="80"/>
        </w:rPr>
        <w:t>los Postulados Básicos de Contabilidad Gubernamental</w:t>
      </w:r>
      <w:r>
        <w:rPr>
          <w:color w:val="1F3864" w:themeColor="accent5" w:themeShade="80"/>
        </w:rPr>
        <w:t>.</w:t>
      </w:r>
    </w:p>
    <w:p w14:paraId="251D5608" w14:textId="77777777" w:rsidR="00AC77A3" w:rsidRPr="00E74967" w:rsidRDefault="00AC77A3" w:rsidP="00CB41C4">
      <w:pPr>
        <w:tabs>
          <w:tab w:val="left" w:leader="underscore" w:pos="9639"/>
        </w:tabs>
        <w:spacing w:after="0" w:line="240" w:lineRule="auto"/>
        <w:jc w:val="both"/>
        <w:rPr>
          <w:rFonts w:cs="Calibri"/>
        </w:rPr>
      </w:pPr>
    </w:p>
    <w:p w14:paraId="7989D893" w14:textId="77777777"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22401BE4" w14:textId="77777777" w:rsidR="00AC77A3" w:rsidRDefault="00AC77A3" w:rsidP="00CB41C4">
      <w:pPr>
        <w:tabs>
          <w:tab w:val="left" w:leader="underscore" w:pos="9639"/>
        </w:tabs>
        <w:spacing w:after="0" w:line="240" w:lineRule="auto"/>
        <w:jc w:val="both"/>
        <w:rPr>
          <w:rFonts w:cs="Calibri"/>
        </w:rPr>
      </w:pPr>
    </w:p>
    <w:p w14:paraId="20919DBB" w14:textId="77777777" w:rsidR="00AC77A3" w:rsidRPr="001974BE" w:rsidRDefault="00AC77A3" w:rsidP="00AC77A3">
      <w:pPr>
        <w:tabs>
          <w:tab w:val="left" w:leader="underscore" w:pos="9639"/>
        </w:tabs>
        <w:spacing w:after="0" w:line="240" w:lineRule="auto"/>
        <w:jc w:val="both"/>
        <w:rPr>
          <w:color w:val="1F3864" w:themeColor="accent5" w:themeShade="80"/>
        </w:rPr>
      </w:pPr>
      <w:r w:rsidRPr="00AC77A3">
        <w:rPr>
          <w:b/>
          <w:color w:val="1F3864" w:themeColor="accent5" w:themeShade="80"/>
        </w:rPr>
        <w:t>En el Manual de Contabilidad del Municipio se especifica la supletoriedad para determinados eventos u operaciones</w:t>
      </w:r>
      <w:r>
        <w:rPr>
          <w:color w:val="1F3864" w:themeColor="accent5" w:themeShade="80"/>
        </w:rPr>
        <w:t>.</w:t>
      </w:r>
    </w:p>
    <w:p w14:paraId="107AD086" w14:textId="77777777" w:rsidR="00AC77A3" w:rsidRPr="00E74967" w:rsidRDefault="00AC77A3"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0D5CCD6D" w14:textId="77777777" w:rsidR="00AC77A3" w:rsidRDefault="00AC77A3" w:rsidP="00CB41C4">
      <w:pPr>
        <w:tabs>
          <w:tab w:val="left" w:leader="underscore" w:pos="9639"/>
        </w:tabs>
        <w:spacing w:after="0" w:line="240" w:lineRule="auto"/>
        <w:jc w:val="both"/>
        <w:rPr>
          <w:rFonts w:cs="Calibri"/>
        </w:rPr>
      </w:pPr>
    </w:p>
    <w:p w14:paraId="3C4194CE" w14:textId="3AF6843E" w:rsidR="00AC77A3" w:rsidRDefault="00AC77A3" w:rsidP="00CB41C4">
      <w:pPr>
        <w:tabs>
          <w:tab w:val="left" w:leader="underscore" w:pos="9639"/>
        </w:tabs>
        <w:spacing w:after="0" w:line="240" w:lineRule="auto"/>
        <w:jc w:val="both"/>
        <w:rPr>
          <w:rFonts w:cs="Calibri"/>
        </w:rPr>
      </w:pPr>
      <w:r>
        <w:rPr>
          <w:rFonts w:cs="Calibri"/>
        </w:rPr>
        <w:t>No Aplica</w:t>
      </w: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3B6D9156" w14:textId="77777777" w:rsidR="007D1E76" w:rsidRDefault="007D1E76" w:rsidP="00CB41C4">
      <w:pPr>
        <w:tabs>
          <w:tab w:val="left" w:leader="underscore" w:pos="9639"/>
        </w:tabs>
        <w:spacing w:after="0" w:line="240" w:lineRule="auto"/>
        <w:jc w:val="both"/>
        <w:rPr>
          <w:rFonts w:cs="Calibri"/>
        </w:rPr>
      </w:pPr>
    </w:p>
    <w:p w14:paraId="1E3C1D76" w14:textId="0342F0AB" w:rsidR="00AC77A3" w:rsidRPr="00E74967" w:rsidRDefault="00AC77A3" w:rsidP="00CB41C4">
      <w:pPr>
        <w:tabs>
          <w:tab w:val="left" w:leader="underscore" w:pos="9639"/>
        </w:tabs>
        <w:spacing w:after="0" w:line="240" w:lineRule="auto"/>
        <w:jc w:val="both"/>
        <w:rPr>
          <w:rFonts w:cs="Calibri"/>
        </w:rPr>
      </w:pPr>
      <w:r>
        <w:rPr>
          <w:rFonts w:cs="Calibri"/>
        </w:rPr>
        <w:t>No aplica</w:t>
      </w: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890FD0E"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27C20044" w14:textId="77777777" w:rsidR="00AC77A3" w:rsidRPr="001974BE" w:rsidRDefault="00AC77A3" w:rsidP="00AC77A3">
      <w:pPr>
        <w:tabs>
          <w:tab w:val="left" w:leader="underscore" w:pos="9639"/>
        </w:tabs>
        <w:spacing w:after="0" w:line="240" w:lineRule="auto"/>
        <w:jc w:val="both"/>
        <w:rPr>
          <w:rFonts w:cs="Calibri"/>
          <w:color w:val="1F3864" w:themeColor="accent5" w:themeShade="80"/>
        </w:rPr>
      </w:pPr>
      <w:r w:rsidRPr="001974BE">
        <w:rPr>
          <w:rFonts w:cs="Calibri"/>
          <w:color w:val="1F3864" w:themeColor="accent5" w:themeShade="80"/>
        </w:rPr>
        <w:t xml:space="preserve">No se actualizan </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5E2DE404" w14:textId="77777777" w:rsidR="00AC77A3" w:rsidRPr="00E74967" w:rsidRDefault="00AC77A3" w:rsidP="00CB41C4">
      <w:pPr>
        <w:tabs>
          <w:tab w:val="left" w:leader="underscore" w:pos="9639"/>
        </w:tabs>
        <w:spacing w:after="0" w:line="240" w:lineRule="auto"/>
        <w:jc w:val="both"/>
        <w:rPr>
          <w:rFonts w:cs="Calibri"/>
        </w:rPr>
      </w:pPr>
    </w:p>
    <w:p w14:paraId="7FB0FEB0" w14:textId="77777777" w:rsidR="00AC77A3" w:rsidRPr="001974BE" w:rsidRDefault="00AC77A3" w:rsidP="00AC77A3">
      <w:pPr>
        <w:tabs>
          <w:tab w:val="left" w:leader="underscore" w:pos="9639"/>
        </w:tabs>
        <w:spacing w:after="0" w:line="240" w:lineRule="auto"/>
        <w:jc w:val="both"/>
        <w:rPr>
          <w:rFonts w:cs="Calibri"/>
          <w:color w:val="1F3864" w:themeColor="accent5" w:themeShade="80"/>
        </w:rPr>
      </w:pPr>
      <w:r w:rsidRPr="001974BE">
        <w:rPr>
          <w:rFonts w:cs="Calibri"/>
          <w:color w:val="1F3864" w:themeColor="accent5" w:themeShade="80"/>
        </w:rPr>
        <w:t>No se tiene ese tipo de operaciones</w:t>
      </w:r>
    </w:p>
    <w:p w14:paraId="4427A3D1" w14:textId="77777777" w:rsidR="00AC77A3" w:rsidRPr="00AC77A3" w:rsidRDefault="00AC77A3" w:rsidP="00CB41C4">
      <w:pPr>
        <w:tabs>
          <w:tab w:val="left" w:leader="underscore" w:pos="9639"/>
        </w:tabs>
        <w:spacing w:after="0" w:line="240" w:lineRule="auto"/>
        <w:jc w:val="both"/>
        <w:rPr>
          <w:rFonts w:cs="Calibri"/>
          <w:color w:val="1F3864" w:themeColor="accent5" w:themeShade="80"/>
        </w:rPr>
      </w:pPr>
    </w:p>
    <w:p w14:paraId="433324F3" w14:textId="77777777"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226A6DE" w14:textId="77777777" w:rsidR="00AC77A3" w:rsidRDefault="00AC77A3" w:rsidP="00CB41C4">
      <w:pPr>
        <w:tabs>
          <w:tab w:val="left" w:leader="underscore" w:pos="9639"/>
        </w:tabs>
        <w:spacing w:after="0" w:line="240" w:lineRule="auto"/>
        <w:jc w:val="both"/>
        <w:rPr>
          <w:rFonts w:cs="Calibri"/>
        </w:rPr>
      </w:pPr>
    </w:p>
    <w:p w14:paraId="33745480" w14:textId="77777777" w:rsidR="00AC77A3" w:rsidRPr="001974BE" w:rsidRDefault="00AC77A3" w:rsidP="00AC77A3">
      <w:pPr>
        <w:tabs>
          <w:tab w:val="left" w:leader="underscore" w:pos="9639"/>
        </w:tabs>
        <w:spacing w:after="0" w:line="240" w:lineRule="auto"/>
        <w:jc w:val="both"/>
        <w:rPr>
          <w:rFonts w:cs="Calibri"/>
          <w:color w:val="1F3864" w:themeColor="accent5" w:themeShade="80"/>
        </w:rPr>
      </w:pPr>
      <w:r w:rsidRPr="001974BE">
        <w:rPr>
          <w:rFonts w:cs="Calibri"/>
          <w:color w:val="1F3864" w:themeColor="accent5" w:themeShade="80"/>
        </w:rPr>
        <w:t>No se tiene ese tipo de operaciones</w:t>
      </w:r>
    </w:p>
    <w:p w14:paraId="6FDC49F1" w14:textId="77777777" w:rsidR="00AC77A3" w:rsidRPr="00E74967" w:rsidRDefault="00AC77A3" w:rsidP="00CB41C4">
      <w:pPr>
        <w:tabs>
          <w:tab w:val="left" w:leader="underscore" w:pos="9639"/>
        </w:tabs>
        <w:spacing w:after="0" w:line="240" w:lineRule="auto"/>
        <w:jc w:val="both"/>
        <w:rPr>
          <w:rFonts w:cs="Calibri"/>
        </w:rPr>
      </w:pPr>
    </w:p>
    <w:p w14:paraId="7AB12262" w14:textId="77777777"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27B4A068" w14:textId="77777777" w:rsidR="00AC77A3" w:rsidRDefault="00AC77A3" w:rsidP="00CB41C4">
      <w:pPr>
        <w:tabs>
          <w:tab w:val="left" w:leader="underscore" w:pos="9639"/>
        </w:tabs>
        <w:spacing w:after="0" w:line="240" w:lineRule="auto"/>
        <w:jc w:val="both"/>
        <w:rPr>
          <w:rFonts w:cs="Calibri"/>
        </w:rPr>
      </w:pPr>
    </w:p>
    <w:p w14:paraId="577A6EF3" w14:textId="73CC5B62" w:rsidR="00AC77A3" w:rsidRDefault="00AC77A3" w:rsidP="00CB41C4">
      <w:pPr>
        <w:tabs>
          <w:tab w:val="left" w:leader="underscore" w:pos="9639"/>
        </w:tabs>
        <w:spacing w:after="0" w:line="240" w:lineRule="auto"/>
        <w:jc w:val="both"/>
        <w:rPr>
          <w:rFonts w:cs="Calibri"/>
          <w:color w:val="1F3864" w:themeColor="accent5" w:themeShade="80"/>
        </w:rPr>
      </w:pPr>
      <w:r w:rsidRPr="001974BE">
        <w:rPr>
          <w:rFonts w:cs="Calibri"/>
          <w:color w:val="1F3864" w:themeColor="accent5" w:themeShade="80"/>
        </w:rPr>
        <w:t>No se tiene ese tipo de operaciones</w:t>
      </w:r>
    </w:p>
    <w:p w14:paraId="01DAA94E" w14:textId="77777777" w:rsidR="00AC77A3" w:rsidRPr="00E74967" w:rsidRDefault="00AC77A3"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4ACDDC13"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7DC0126E" w14:textId="77777777" w:rsidR="00AC77A3" w:rsidRPr="00E74967" w:rsidRDefault="00AC77A3" w:rsidP="00AC77A3">
      <w:pPr>
        <w:tabs>
          <w:tab w:val="left" w:leader="underscore" w:pos="9639"/>
        </w:tabs>
        <w:spacing w:after="0" w:line="240" w:lineRule="auto"/>
        <w:jc w:val="both"/>
        <w:rPr>
          <w:rFonts w:cs="Calibri"/>
        </w:rPr>
      </w:pPr>
      <w:r w:rsidRPr="001974BE">
        <w:rPr>
          <w:rFonts w:cs="Calibri"/>
          <w:color w:val="1F3864" w:themeColor="accent5" w:themeShade="80"/>
        </w:rPr>
        <w:t>No se tiene ese tipo de operaciones</w:t>
      </w:r>
    </w:p>
    <w:p w14:paraId="4C8FFC46" w14:textId="77777777" w:rsidR="00AC77A3" w:rsidRDefault="00AC77A3" w:rsidP="00CB41C4">
      <w:pPr>
        <w:tabs>
          <w:tab w:val="left" w:leader="underscore" w:pos="9639"/>
        </w:tabs>
        <w:spacing w:after="0" w:line="240" w:lineRule="auto"/>
        <w:jc w:val="both"/>
        <w:rPr>
          <w:rFonts w:cs="Calibri"/>
        </w:rPr>
      </w:pPr>
    </w:p>
    <w:p w14:paraId="6113C381"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5680AC27" w14:textId="77777777" w:rsidR="00AC77A3" w:rsidRDefault="00AC77A3" w:rsidP="00CB41C4">
      <w:pPr>
        <w:tabs>
          <w:tab w:val="left" w:leader="underscore" w:pos="9639"/>
        </w:tabs>
        <w:spacing w:after="0" w:line="240" w:lineRule="auto"/>
        <w:jc w:val="both"/>
        <w:rPr>
          <w:rFonts w:cs="Calibri"/>
        </w:rPr>
      </w:pPr>
    </w:p>
    <w:p w14:paraId="0FAAD99C" w14:textId="77777777" w:rsidR="00AC77A3" w:rsidRPr="00E74967" w:rsidRDefault="00AC77A3" w:rsidP="00AC77A3">
      <w:pPr>
        <w:tabs>
          <w:tab w:val="left" w:leader="underscore" w:pos="9639"/>
        </w:tabs>
        <w:spacing w:after="0" w:line="240" w:lineRule="auto"/>
        <w:jc w:val="both"/>
        <w:rPr>
          <w:rFonts w:cs="Calibri"/>
        </w:rPr>
      </w:pPr>
      <w:r w:rsidRPr="001974BE">
        <w:rPr>
          <w:rFonts w:cs="Calibri"/>
          <w:color w:val="1F3864" w:themeColor="accent5" w:themeShade="80"/>
        </w:rPr>
        <w:t>No se tiene ese tipo de operaciones</w:t>
      </w:r>
    </w:p>
    <w:p w14:paraId="2159398C" w14:textId="77777777" w:rsidR="00AC77A3" w:rsidRPr="00E74967" w:rsidRDefault="00AC77A3"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29AA1B07" w14:textId="77777777" w:rsidR="00AC77A3" w:rsidRPr="00E74967" w:rsidRDefault="00AC77A3" w:rsidP="00AC77A3">
      <w:pPr>
        <w:tabs>
          <w:tab w:val="left" w:leader="underscore" w:pos="9639"/>
        </w:tabs>
        <w:spacing w:after="0" w:line="240" w:lineRule="auto"/>
        <w:jc w:val="both"/>
        <w:rPr>
          <w:rFonts w:cs="Calibri"/>
        </w:rPr>
      </w:pPr>
      <w:r w:rsidRPr="001974BE">
        <w:rPr>
          <w:rFonts w:cs="Calibri"/>
          <w:color w:val="1F3864" w:themeColor="accent5" w:themeShade="80"/>
        </w:rPr>
        <w:t>No se tiene ese tipo de operaciones</w:t>
      </w:r>
    </w:p>
    <w:p w14:paraId="286AF0F1" w14:textId="77777777" w:rsidR="00AC77A3" w:rsidRDefault="00AC77A3"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6FBC0E6D"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7DDBAE56" w14:textId="77777777" w:rsidR="00AC77A3" w:rsidRPr="00E74967" w:rsidRDefault="00AC77A3" w:rsidP="00AC77A3">
      <w:pPr>
        <w:tabs>
          <w:tab w:val="left" w:leader="underscore" w:pos="9639"/>
        </w:tabs>
        <w:spacing w:after="0" w:line="240" w:lineRule="auto"/>
        <w:jc w:val="both"/>
        <w:rPr>
          <w:rFonts w:cs="Calibri"/>
        </w:rPr>
      </w:pPr>
      <w:r w:rsidRPr="001974BE">
        <w:rPr>
          <w:rFonts w:cs="Calibri"/>
          <w:color w:val="1F3864" w:themeColor="accent5" w:themeShade="80"/>
        </w:rPr>
        <w:t>No se tiene ese tipo de operaciones</w:t>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6C88A47"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5987B8C7" w14:textId="77777777" w:rsidR="00AC77A3" w:rsidRPr="00C06CA0" w:rsidRDefault="00AC77A3" w:rsidP="00AC77A3">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Se aplican las disposiciones emitidas por el CONAC</w:t>
      </w:r>
    </w:p>
    <w:p w14:paraId="166D936C" w14:textId="77777777" w:rsidR="00AC77A3" w:rsidRDefault="00AC77A3" w:rsidP="00CB41C4">
      <w:pPr>
        <w:tabs>
          <w:tab w:val="left" w:leader="underscore" w:pos="9639"/>
        </w:tabs>
        <w:spacing w:after="0" w:line="240" w:lineRule="auto"/>
        <w:jc w:val="both"/>
        <w:rPr>
          <w:rFonts w:cs="Calibri"/>
          <w:b/>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7BF6D8B6"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6DCA10E3" w14:textId="77777777" w:rsidR="00AC77A3" w:rsidRPr="00C06CA0" w:rsidRDefault="00AC77A3" w:rsidP="00AC77A3">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Se aplican las disposiciones emitidas por el CONAC</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B15FC2E" w14:textId="77777777" w:rsidR="00AC77A3" w:rsidRPr="00C06CA0" w:rsidRDefault="00AC77A3" w:rsidP="00AC77A3">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05782FA8" w14:textId="77777777" w:rsidR="00AC77A3" w:rsidRDefault="00AC77A3" w:rsidP="00CB41C4">
      <w:pPr>
        <w:tabs>
          <w:tab w:val="left" w:leader="underscore" w:pos="9639"/>
        </w:tabs>
        <w:spacing w:after="0" w:line="240" w:lineRule="auto"/>
        <w:jc w:val="both"/>
        <w:rPr>
          <w:rFonts w:cs="Calibri"/>
          <w:b/>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BC5AFD6" w14:textId="77777777" w:rsidR="00AC77A3" w:rsidRPr="00C06CA0" w:rsidRDefault="00AC77A3" w:rsidP="00AC77A3">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59F75FB6" w14:textId="77777777" w:rsidR="00AC77A3" w:rsidRDefault="00AC77A3" w:rsidP="00CB41C4">
      <w:pPr>
        <w:tabs>
          <w:tab w:val="left" w:leader="underscore" w:pos="9639"/>
        </w:tabs>
        <w:spacing w:after="0" w:line="240" w:lineRule="auto"/>
        <w:jc w:val="both"/>
        <w:rPr>
          <w:rFonts w:cs="Calibri"/>
          <w:b/>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452A1D"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11961453" w14:textId="77777777" w:rsidR="00AC77A3" w:rsidRPr="00C06CA0" w:rsidRDefault="00AC77A3" w:rsidP="00AC77A3">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021FA116" w14:textId="77777777" w:rsidR="00AC77A3" w:rsidRDefault="00AC77A3"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466D7293"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74E508F8" w14:textId="77777777" w:rsidR="00AC77A3" w:rsidRPr="00C06CA0" w:rsidRDefault="00AC77A3" w:rsidP="00AC77A3">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46A44057" w14:textId="77777777" w:rsidR="00AC77A3" w:rsidRDefault="00AC77A3" w:rsidP="00CB41C4">
      <w:pPr>
        <w:tabs>
          <w:tab w:val="left" w:leader="underscore" w:pos="9639"/>
        </w:tabs>
        <w:spacing w:after="0" w:line="240" w:lineRule="auto"/>
        <w:jc w:val="both"/>
        <w:rPr>
          <w:rFonts w:cs="Calibri"/>
          <w:b/>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6FD15BA6"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3451F156" w14:textId="77777777" w:rsidR="00AC77A3" w:rsidRPr="00C06CA0" w:rsidRDefault="00AC77A3" w:rsidP="00AC77A3">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04010B6A"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5533FCAF" w14:textId="77777777" w:rsidR="00AC77A3" w:rsidRDefault="00AC77A3" w:rsidP="00AC77A3">
      <w:pPr>
        <w:tabs>
          <w:tab w:val="left" w:leader="underscore" w:pos="9639"/>
        </w:tabs>
        <w:spacing w:after="0" w:line="240" w:lineRule="auto"/>
        <w:jc w:val="both"/>
        <w:rPr>
          <w:rFonts w:cs="Calibri"/>
        </w:rPr>
      </w:pPr>
      <w:r w:rsidRPr="00C06CA0">
        <w:rPr>
          <w:rFonts w:cs="Calibri"/>
          <w:color w:val="1F3864" w:themeColor="accent5" w:themeShade="80"/>
        </w:rPr>
        <w:t>De acuerdo a las disposiciones emitidas por el CONAC y La Ley del Impuesto Sobre la Renta</w:t>
      </w:r>
      <w:r>
        <w:rPr>
          <w:rFonts w:cs="Calibri"/>
        </w:rPr>
        <w:t>.</w:t>
      </w:r>
    </w:p>
    <w:p w14:paraId="4671A016" w14:textId="77777777" w:rsidR="00AC77A3" w:rsidRDefault="00AC77A3" w:rsidP="00CB41C4">
      <w:pPr>
        <w:tabs>
          <w:tab w:val="left" w:leader="underscore" w:pos="9639"/>
        </w:tabs>
        <w:spacing w:after="0" w:line="240" w:lineRule="auto"/>
        <w:jc w:val="both"/>
        <w:rPr>
          <w:rFonts w:cs="Calibri"/>
          <w:b/>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74FCFA7E" w14:textId="77777777" w:rsidR="00AC77A3" w:rsidRDefault="00AC77A3" w:rsidP="00CB41C4">
      <w:pPr>
        <w:tabs>
          <w:tab w:val="left" w:leader="underscore" w:pos="9639"/>
        </w:tabs>
        <w:spacing w:after="0" w:line="240" w:lineRule="auto"/>
        <w:jc w:val="both"/>
        <w:rPr>
          <w:rFonts w:cs="Calibri"/>
        </w:rPr>
      </w:pPr>
    </w:p>
    <w:p w14:paraId="10175605" w14:textId="6A4BB21D" w:rsidR="00AC77A3" w:rsidRPr="00AC77A3" w:rsidRDefault="00AC77A3" w:rsidP="00CB41C4">
      <w:pPr>
        <w:tabs>
          <w:tab w:val="left" w:leader="underscore" w:pos="9639"/>
        </w:tabs>
        <w:spacing w:after="0" w:line="240" w:lineRule="auto"/>
        <w:jc w:val="both"/>
        <w:rPr>
          <w:rFonts w:cs="Calibri"/>
          <w:color w:val="1F3864" w:themeColor="accent5" w:themeShade="80"/>
        </w:rPr>
      </w:pPr>
      <w:r w:rsidRPr="00AC77A3">
        <w:rPr>
          <w:rFonts w:cs="Calibri"/>
          <w:color w:val="1F3864" w:themeColor="accent5" w:themeShade="80"/>
        </w:rPr>
        <w:t>Ninguno</w:t>
      </w:r>
    </w:p>
    <w:p w14:paraId="2822AC8F" w14:textId="77777777" w:rsidR="00AC77A3" w:rsidRPr="00AC77A3" w:rsidRDefault="00AC77A3" w:rsidP="00CB41C4">
      <w:pPr>
        <w:tabs>
          <w:tab w:val="left" w:leader="underscore" w:pos="9639"/>
        </w:tabs>
        <w:spacing w:after="0" w:line="240" w:lineRule="auto"/>
        <w:jc w:val="both"/>
        <w:rPr>
          <w:rFonts w:cs="Calibri"/>
          <w:color w:val="1F3864" w:themeColor="accent5" w:themeShade="80"/>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6656DE08" w14:textId="77777777" w:rsidR="00AC77A3" w:rsidRDefault="00AC77A3" w:rsidP="00CB41C4">
      <w:pPr>
        <w:tabs>
          <w:tab w:val="left" w:leader="underscore" w:pos="9639"/>
        </w:tabs>
        <w:spacing w:after="0" w:line="240" w:lineRule="auto"/>
        <w:jc w:val="both"/>
        <w:rPr>
          <w:rFonts w:cs="Calibri"/>
          <w:color w:val="1F3864" w:themeColor="accent5" w:themeShade="80"/>
        </w:rPr>
      </w:pPr>
    </w:p>
    <w:p w14:paraId="371F8A58" w14:textId="2BCB7FBE" w:rsidR="00AC77A3" w:rsidRPr="00AC77A3" w:rsidRDefault="00AC77A3" w:rsidP="00CB41C4">
      <w:pPr>
        <w:tabs>
          <w:tab w:val="left" w:leader="underscore" w:pos="9639"/>
        </w:tabs>
        <w:spacing w:after="0" w:line="240" w:lineRule="auto"/>
        <w:jc w:val="both"/>
        <w:rPr>
          <w:rFonts w:cs="Calibri"/>
          <w:color w:val="1F3864" w:themeColor="accent5" w:themeShade="80"/>
        </w:rPr>
      </w:pPr>
      <w:r>
        <w:rPr>
          <w:rFonts w:cs="Calibri"/>
          <w:color w:val="1F3864" w:themeColor="accent5" w:themeShade="80"/>
        </w:rPr>
        <w:t>A</w:t>
      </w:r>
      <w:r w:rsidRPr="00AC77A3">
        <w:rPr>
          <w:rFonts w:cs="Calibri"/>
          <w:color w:val="1F3864" w:themeColor="accent5" w:themeShade="80"/>
        </w:rPr>
        <w:t xml:space="preserve"> la fecha ninguno</w:t>
      </w:r>
    </w:p>
    <w:p w14:paraId="2D90D597" w14:textId="77777777" w:rsidR="00AC77A3" w:rsidRDefault="00AC77A3"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285EBEEC" w14:textId="77777777" w:rsidR="00AC77A3" w:rsidRDefault="00AC77A3" w:rsidP="00CB41C4">
      <w:pPr>
        <w:tabs>
          <w:tab w:val="left" w:leader="underscore" w:pos="9639"/>
        </w:tabs>
        <w:spacing w:after="0" w:line="240" w:lineRule="auto"/>
        <w:jc w:val="both"/>
        <w:rPr>
          <w:rFonts w:cs="Calibri"/>
        </w:rPr>
      </w:pPr>
    </w:p>
    <w:p w14:paraId="55CF3EFF" w14:textId="18D54E1E" w:rsidR="00AC77A3" w:rsidRPr="00AC77A3" w:rsidRDefault="00AC77A3" w:rsidP="00CB41C4">
      <w:pPr>
        <w:tabs>
          <w:tab w:val="left" w:leader="underscore" w:pos="9639"/>
        </w:tabs>
        <w:spacing w:after="0" w:line="240" w:lineRule="auto"/>
        <w:jc w:val="both"/>
        <w:rPr>
          <w:rFonts w:cs="Calibri"/>
          <w:color w:val="1F3864" w:themeColor="accent5" w:themeShade="80"/>
        </w:rPr>
      </w:pPr>
      <w:r>
        <w:rPr>
          <w:rFonts w:cs="Calibri"/>
          <w:color w:val="1F3864" w:themeColor="accent5" w:themeShade="80"/>
        </w:rPr>
        <w:t xml:space="preserve">A </w:t>
      </w:r>
      <w:r w:rsidRPr="00AC77A3">
        <w:rPr>
          <w:rFonts w:cs="Calibri"/>
          <w:color w:val="1F3864" w:themeColor="accent5" w:themeShade="80"/>
        </w:rPr>
        <w:t>la fecha ninguno</w:t>
      </w:r>
    </w:p>
    <w:p w14:paraId="0AB09F9F" w14:textId="77777777" w:rsidR="00AC77A3" w:rsidRDefault="00AC77A3"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58BFDA7C" w14:textId="77777777" w:rsidR="00AC77A3" w:rsidRDefault="00AC77A3" w:rsidP="00AC77A3">
      <w:pPr>
        <w:tabs>
          <w:tab w:val="left" w:leader="underscore" w:pos="9639"/>
        </w:tabs>
        <w:spacing w:after="0" w:line="240" w:lineRule="auto"/>
        <w:jc w:val="both"/>
        <w:rPr>
          <w:rFonts w:cs="Calibri"/>
          <w:color w:val="1F3864" w:themeColor="accent5" w:themeShade="80"/>
        </w:rPr>
      </w:pPr>
    </w:p>
    <w:p w14:paraId="45549408" w14:textId="2D4ED496" w:rsidR="00AC77A3" w:rsidRPr="00AC77A3" w:rsidRDefault="00AC77A3" w:rsidP="00AC77A3">
      <w:pPr>
        <w:tabs>
          <w:tab w:val="left" w:leader="underscore" w:pos="9639"/>
        </w:tabs>
        <w:spacing w:after="0" w:line="240" w:lineRule="auto"/>
        <w:jc w:val="both"/>
        <w:rPr>
          <w:rFonts w:cs="Calibri"/>
          <w:color w:val="1F3864" w:themeColor="accent5" w:themeShade="80"/>
        </w:rPr>
      </w:pPr>
      <w:r>
        <w:rPr>
          <w:rFonts w:cs="Calibri"/>
          <w:color w:val="1F3864" w:themeColor="accent5" w:themeShade="80"/>
        </w:rPr>
        <w:t xml:space="preserve">A </w:t>
      </w:r>
      <w:r w:rsidRPr="00AC77A3">
        <w:rPr>
          <w:rFonts w:cs="Calibri"/>
          <w:color w:val="1F3864" w:themeColor="accent5" w:themeShade="80"/>
        </w:rPr>
        <w:t>la fecha ninguno</w:t>
      </w:r>
    </w:p>
    <w:p w14:paraId="0BF0E152" w14:textId="77777777" w:rsidR="00AC77A3" w:rsidRDefault="00AC77A3" w:rsidP="00CB41C4">
      <w:pPr>
        <w:tabs>
          <w:tab w:val="left" w:leader="underscore" w:pos="9639"/>
        </w:tabs>
        <w:spacing w:after="0" w:line="240" w:lineRule="auto"/>
        <w:jc w:val="both"/>
        <w:rPr>
          <w:rFonts w:cs="Calibri"/>
        </w:rPr>
      </w:pPr>
    </w:p>
    <w:p w14:paraId="3300BE89" w14:textId="77777777" w:rsidR="00AC77A3" w:rsidRDefault="00AC77A3" w:rsidP="00CB41C4">
      <w:pPr>
        <w:tabs>
          <w:tab w:val="left" w:leader="underscore" w:pos="9639"/>
        </w:tabs>
        <w:spacing w:after="0" w:line="240" w:lineRule="auto"/>
        <w:jc w:val="both"/>
        <w:rPr>
          <w:rFonts w:cs="Calibri"/>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532DB03F" w14:textId="77777777" w:rsidR="00AC77A3" w:rsidRDefault="00AC77A3" w:rsidP="00CB41C4">
      <w:pPr>
        <w:tabs>
          <w:tab w:val="left" w:leader="underscore" w:pos="9639"/>
        </w:tabs>
        <w:spacing w:after="0" w:line="240" w:lineRule="auto"/>
        <w:jc w:val="both"/>
        <w:rPr>
          <w:rFonts w:cs="Calibri"/>
        </w:rPr>
      </w:pPr>
    </w:p>
    <w:p w14:paraId="1B2F41B1" w14:textId="678D0E13" w:rsidR="00AC77A3" w:rsidRPr="00AC77A3" w:rsidRDefault="00AC77A3" w:rsidP="00CB41C4">
      <w:pPr>
        <w:tabs>
          <w:tab w:val="left" w:leader="underscore" w:pos="9639"/>
        </w:tabs>
        <w:spacing w:after="0" w:line="240" w:lineRule="auto"/>
        <w:jc w:val="both"/>
        <w:rPr>
          <w:rFonts w:cs="Calibri"/>
          <w:color w:val="1F3864" w:themeColor="accent5" w:themeShade="80"/>
        </w:rPr>
      </w:pPr>
      <w:r w:rsidRPr="00AC77A3">
        <w:rPr>
          <w:rFonts w:cs="Calibri"/>
          <w:color w:val="1F3864" w:themeColor="accent5" w:themeShade="80"/>
        </w:rPr>
        <w:t>A la fecha ninguna circunstancia</w:t>
      </w:r>
    </w:p>
    <w:p w14:paraId="1ACF3BA1" w14:textId="77777777" w:rsidR="00AC77A3" w:rsidRDefault="00AC77A3"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47883A18" w14:textId="77777777" w:rsidR="00AC77A3" w:rsidRDefault="00AC77A3" w:rsidP="00CB41C4">
      <w:pPr>
        <w:tabs>
          <w:tab w:val="left" w:leader="underscore" w:pos="9639"/>
        </w:tabs>
        <w:spacing w:after="0" w:line="240" w:lineRule="auto"/>
        <w:jc w:val="both"/>
        <w:rPr>
          <w:rFonts w:cs="Calibri"/>
        </w:rPr>
      </w:pPr>
    </w:p>
    <w:p w14:paraId="40C6B685" w14:textId="49C2DC31" w:rsidR="00AC77A3" w:rsidRPr="00AC77A3" w:rsidRDefault="00AC77A3" w:rsidP="00AC77A3">
      <w:pPr>
        <w:tabs>
          <w:tab w:val="left" w:leader="underscore" w:pos="9639"/>
        </w:tabs>
        <w:spacing w:after="0" w:line="240" w:lineRule="auto"/>
        <w:jc w:val="both"/>
        <w:rPr>
          <w:rFonts w:cs="Calibri"/>
          <w:color w:val="1F3864" w:themeColor="accent5" w:themeShade="80"/>
        </w:rPr>
      </w:pPr>
      <w:r w:rsidRPr="00AC77A3">
        <w:rPr>
          <w:rFonts w:cs="Calibri"/>
          <w:color w:val="1F3864" w:themeColor="accent5" w:themeShade="80"/>
        </w:rPr>
        <w:t xml:space="preserve">A la fecha </w:t>
      </w:r>
      <w:r>
        <w:rPr>
          <w:rFonts w:cs="Calibri"/>
          <w:color w:val="1F3864" w:themeColor="accent5" w:themeShade="80"/>
        </w:rPr>
        <w:t>ningún desmantelamiento</w:t>
      </w:r>
    </w:p>
    <w:p w14:paraId="502977F8" w14:textId="77777777" w:rsidR="00AC77A3" w:rsidRDefault="00AC77A3"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53863085" w14:textId="77777777" w:rsidR="00AC77A3" w:rsidRDefault="00AC77A3" w:rsidP="00CB41C4">
      <w:pPr>
        <w:tabs>
          <w:tab w:val="left" w:leader="underscore" w:pos="9639"/>
        </w:tabs>
        <w:spacing w:after="0" w:line="240" w:lineRule="auto"/>
        <w:jc w:val="both"/>
        <w:rPr>
          <w:rFonts w:cs="Calibri"/>
        </w:rPr>
      </w:pPr>
    </w:p>
    <w:p w14:paraId="5E004DA9" w14:textId="77777777" w:rsidR="00AC77A3" w:rsidRDefault="00AC77A3"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34DF163D" w14:textId="77777777" w:rsidR="00480CC7" w:rsidRPr="00C06CA0" w:rsidRDefault="00480CC7" w:rsidP="00480CC7">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lastRenderedPageBreak/>
        <w:t>Esta nota no le aplica al ente público</w:t>
      </w:r>
    </w:p>
    <w:p w14:paraId="7F578894" w14:textId="77777777" w:rsidR="00480CC7" w:rsidRDefault="00480CC7"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09A3FD1A" w14:textId="77777777" w:rsidR="00480CC7" w:rsidRDefault="00480CC7" w:rsidP="00480CC7">
      <w:pPr>
        <w:tabs>
          <w:tab w:val="left" w:leader="underscore" w:pos="9639"/>
        </w:tabs>
        <w:spacing w:after="0" w:line="240" w:lineRule="auto"/>
        <w:jc w:val="both"/>
        <w:rPr>
          <w:rFonts w:cs="Calibri"/>
          <w:color w:val="1F3864" w:themeColor="accent5" w:themeShade="80"/>
        </w:rPr>
      </w:pPr>
    </w:p>
    <w:p w14:paraId="6D64FA59" w14:textId="77777777" w:rsidR="00480CC7" w:rsidRPr="00C06CA0" w:rsidRDefault="00480CC7" w:rsidP="00480CC7">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5C1F8110" w14:textId="77777777" w:rsidR="00480CC7" w:rsidRDefault="00480CC7"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3FA720D9" w14:textId="77777777" w:rsidR="00480CC7" w:rsidRDefault="00480CC7" w:rsidP="00480CC7">
      <w:pPr>
        <w:tabs>
          <w:tab w:val="left" w:leader="underscore" w:pos="9639"/>
        </w:tabs>
        <w:spacing w:after="0" w:line="240" w:lineRule="auto"/>
        <w:jc w:val="both"/>
        <w:rPr>
          <w:rFonts w:cs="Calibri"/>
          <w:color w:val="1F3864" w:themeColor="accent5" w:themeShade="80"/>
        </w:rPr>
      </w:pPr>
    </w:p>
    <w:p w14:paraId="55E52084" w14:textId="77777777" w:rsidR="00480CC7" w:rsidRPr="00C06CA0" w:rsidRDefault="00480CC7" w:rsidP="00480CC7">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733180DF" w14:textId="77777777" w:rsidR="00480CC7" w:rsidRDefault="00480CC7" w:rsidP="00CB41C4">
      <w:pPr>
        <w:tabs>
          <w:tab w:val="left" w:leader="underscore" w:pos="9639"/>
        </w:tabs>
        <w:spacing w:after="0" w:line="240" w:lineRule="auto"/>
        <w:jc w:val="both"/>
        <w:rPr>
          <w:rFonts w:cs="Calibri"/>
          <w:b/>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57D900B3" w14:textId="77777777" w:rsidR="00480CC7" w:rsidRDefault="00480CC7" w:rsidP="00480CC7">
      <w:pPr>
        <w:tabs>
          <w:tab w:val="left" w:leader="underscore" w:pos="9639"/>
        </w:tabs>
        <w:spacing w:after="0" w:line="240" w:lineRule="auto"/>
        <w:jc w:val="both"/>
        <w:rPr>
          <w:rFonts w:cs="Calibri"/>
        </w:rPr>
      </w:pPr>
    </w:p>
    <w:p w14:paraId="521D4F47" w14:textId="4D29CE37" w:rsidR="00480CC7" w:rsidRPr="00C06CA0" w:rsidRDefault="00480CC7" w:rsidP="00480CC7">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3AFCC25F" w14:textId="77777777" w:rsidR="00480CC7" w:rsidRDefault="00480CC7"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DB98D35" w14:textId="77777777" w:rsidR="00480CC7" w:rsidRDefault="00480CC7" w:rsidP="00480CC7">
      <w:pPr>
        <w:tabs>
          <w:tab w:val="left" w:leader="underscore" w:pos="9639"/>
        </w:tabs>
        <w:spacing w:after="0" w:line="240" w:lineRule="auto"/>
        <w:jc w:val="both"/>
        <w:rPr>
          <w:rFonts w:cs="Calibri"/>
          <w:color w:val="1F3864" w:themeColor="accent5" w:themeShade="80"/>
        </w:rPr>
      </w:pPr>
    </w:p>
    <w:p w14:paraId="49774324" w14:textId="77777777" w:rsidR="00480CC7" w:rsidRPr="00C06CA0" w:rsidRDefault="00480CC7" w:rsidP="00480CC7">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79B1F620" w14:textId="77777777" w:rsidR="00480CC7" w:rsidRPr="00C06CA0" w:rsidRDefault="00480CC7" w:rsidP="00480CC7">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6E9375FE" w14:textId="77777777" w:rsidR="00480CC7" w:rsidRDefault="00480CC7"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3B3C34D8" w14:textId="77777777" w:rsidR="00480CC7" w:rsidRPr="00C06CA0" w:rsidRDefault="00480CC7" w:rsidP="00480CC7">
      <w:pPr>
        <w:tabs>
          <w:tab w:val="left" w:leader="underscore" w:pos="9639"/>
        </w:tabs>
        <w:spacing w:after="0" w:line="240" w:lineRule="auto"/>
        <w:jc w:val="both"/>
        <w:rPr>
          <w:rFonts w:cs="Calibri"/>
          <w:color w:val="1F3864" w:themeColor="accent5" w:themeShade="80"/>
        </w:rPr>
      </w:pPr>
      <w:r w:rsidRPr="00C06CA0">
        <w:rPr>
          <w:rFonts w:cs="Calibri"/>
          <w:color w:val="1F3864" w:themeColor="accent5" w:themeShade="80"/>
        </w:rPr>
        <w:t>Esta nota no le aplica al ente público</w:t>
      </w:r>
    </w:p>
    <w:p w14:paraId="5AE57259" w14:textId="77777777" w:rsidR="007D1E76" w:rsidRPr="00E74967" w:rsidRDefault="007D1E76" w:rsidP="00CB41C4">
      <w:pPr>
        <w:tabs>
          <w:tab w:val="left" w:leader="underscore" w:pos="9639"/>
        </w:tabs>
        <w:spacing w:after="0" w:line="240" w:lineRule="auto"/>
        <w:jc w:val="both"/>
        <w:rPr>
          <w:rFonts w:cs="Calibri"/>
        </w:rPr>
      </w:pPr>
    </w:p>
    <w:p w14:paraId="447B18AF" w14:textId="77777777" w:rsidR="00CA7290" w:rsidRDefault="00CA7290" w:rsidP="000C3365">
      <w:pPr>
        <w:pStyle w:val="Ttulo2"/>
        <w:rPr>
          <w:rFonts w:asciiTheme="minorHAnsi" w:hAnsiTheme="minorHAnsi" w:cstheme="minorHAnsi"/>
          <w:b/>
          <w:color w:val="auto"/>
          <w:sz w:val="22"/>
        </w:rPr>
      </w:pPr>
      <w:bookmarkStart w:id="9" w:name="_Toc508279630"/>
    </w:p>
    <w:p w14:paraId="2F60B1C6" w14:textId="44B3E593"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7D093FA" w14:textId="77777777" w:rsidR="00CA7290" w:rsidRDefault="00CA7290" w:rsidP="009E79B9">
      <w:pPr>
        <w:tabs>
          <w:tab w:val="left" w:leader="underscore" w:pos="9639"/>
        </w:tabs>
        <w:spacing w:after="0" w:line="240" w:lineRule="auto"/>
        <w:jc w:val="both"/>
        <w:rPr>
          <w:rFonts w:cs="Calibri"/>
        </w:rPr>
      </w:pPr>
    </w:p>
    <w:p w14:paraId="1EFD0C3C" w14:textId="0264A9A0" w:rsidR="00BD1DAD" w:rsidRDefault="00BD1DAD" w:rsidP="009E79B9">
      <w:pPr>
        <w:tabs>
          <w:tab w:val="left" w:leader="underscore" w:pos="9639"/>
        </w:tabs>
        <w:spacing w:after="0" w:line="240" w:lineRule="auto"/>
        <w:jc w:val="both"/>
        <w:rPr>
          <w:rFonts w:cs="Calibri"/>
          <w:b/>
        </w:rPr>
      </w:pPr>
      <w:r>
        <w:rPr>
          <w:rFonts w:cs="Calibri"/>
        </w:rPr>
        <w:t>Se detalla en el reporte EAI que se presenta como parte de los presentes estados financieros.</w:t>
      </w:r>
    </w:p>
    <w:p w14:paraId="2345AF34" w14:textId="77777777" w:rsidR="00CA7290" w:rsidRDefault="00CA7290" w:rsidP="009E79B9">
      <w:pPr>
        <w:tabs>
          <w:tab w:val="left" w:leader="underscore" w:pos="9639"/>
        </w:tabs>
        <w:spacing w:after="0" w:line="240" w:lineRule="auto"/>
        <w:jc w:val="both"/>
        <w:rPr>
          <w:rFonts w:cs="Calibri"/>
          <w:b/>
        </w:rPr>
      </w:pPr>
    </w:p>
    <w:p w14:paraId="34B94BD3" w14:textId="77777777" w:rsidR="00CA7290" w:rsidRDefault="00CA7290" w:rsidP="009E79B9">
      <w:pPr>
        <w:tabs>
          <w:tab w:val="left" w:leader="underscore" w:pos="9639"/>
        </w:tabs>
        <w:spacing w:after="0" w:line="240" w:lineRule="auto"/>
        <w:jc w:val="both"/>
        <w:rPr>
          <w:rFonts w:cs="Calibri"/>
          <w:b/>
        </w:rPr>
      </w:pPr>
    </w:p>
    <w:p w14:paraId="00649E66" w14:textId="77777777" w:rsidR="00CA7290" w:rsidRDefault="007D1E76" w:rsidP="009E79B9">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bookmarkStart w:id="10" w:name="_Toc508279631"/>
      <w:r w:rsidR="00CA7290" w:rsidRPr="00CA7290">
        <w:rPr>
          <w:rFonts w:cs="Calibri"/>
        </w:rPr>
        <w:t xml:space="preserve"> </w:t>
      </w:r>
    </w:p>
    <w:p w14:paraId="44DB5820" w14:textId="6ACC19CB" w:rsidR="00480CC7" w:rsidRDefault="00480CC7" w:rsidP="009E79B9">
      <w:pPr>
        <w:tabs>
          <w:tab w:val="left" w:leader="underscore" w:pos="9639"/>
        </w:tabs>
        <w:spacing w:after="0" w:line="240" w:lineRule="auto"/>
        <w:jc w:val="both"/>
        <w:rPr>
          <w:rFonts w:cs="Calibri"/>
        </w:rPr>
      </w:pPr>
    </w:p>
    <w:p w14:paraId="1718A65F" w14:textId="77777777" w:rsidR="00BD1DAD" w:rsidRDefault="00BD1DAD" w:rsidP="00BD1DAD">
      <w:pPr>
        <w:tabs>
          <w:tab w:val="left" w:leader="underscore" w:pos="9639"/>
        </w:tabs>
        <w:spacing w:after="0" w:line="240" w:lineRule="auto"/>
        <w:jc w:val="both"/>
        <w:rPr>
          <w:rFonts w:cs="Calibri"/>
          <w:b/>
        </w:rPr>
      </w:pPr>
      <w:r>
        <w:rPr>
          <w:rFonts w:cs="Calibri"/>
        </w:rPr>
        <w:t>Se detalla en el reporte EAI que se presenta como parte de los presentes estados financieros.</w:t>
      </w:r>
    </w:p>
    <w:p w14:paraId="272054AD" w14:textId="77777777" w:rsidR="00CA7290" w:rsidRPr="009E79B9" w:rsidRDefault="00CA7290" w:rsidP="009E79B9"/>
    <w:p w14:paraId="2D68C3FC" w14:textId="77777777"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Default="007D1E76" w:rsidP="00CB41C4">
      <w:pPr>
        <w:tabs>
          <w:tab w:val="left" w:leader="underscore" w:pos="9639"/>
        </w:tabs>
        <w:spacing w:after="0" w:line="240" w:lineRule="auto"/>
        <w:jc w:val="both"/>
        <w:rPr>
          <w:rFonts w:cs="Calibri"/>
        </w:rPr>
      </w:pPr>
    </w:p>
    <w:p w14:paraId="2DD0A45C" w14:textId="356F36CE" w:rsidR="00480CC7" w:rsidRPr="009E79B9" w:rsidRDefault="00480CC7" w:rsidP="00CB41C4">
      <w:pPr>
        <w:tabs>
          <w:tab w:val="left" w:leader="underscore" w:pos="9639"/>
        </w:tabs>
        <w:spacing w:after="0" w:line="240" w:lineRule="auto"/>
        <w:jc w:val="both"/>
        <w:rPr>
          <w:rFonts w:cs="Calibri"/>
          <w:b/>
        </w:rPr>
      </w:pPr>
      <w:r w:rsidRPr="009E79B9">
        <w:rPr>
          <w:rFonts w:cs="Calibri"/>
          <w:b/>
          <w:color w:val="1F3864" w:themeColor="accent5" w:themeShade="80"/>
        </w:rPr>
        <w:t>Actualmente el municipio de Jaral del Progreso no tiene deuda pública</w:t>
      </w:r>
    </w:p>
    <w:p w14:paraId="3DC32B91" w14:textId="77777777" w:rsidR="00480CC7" w:rsidRPr="00E74967" w:rsidRDefault="00480CC7"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514E5398" w14:textId="77777777" w:rsidR="00480CC7" w:rsidRPr="009E79B9" w:rsidRDefault="00480CC7" w:rsidP="00480CC7">
      <w:pPr>
        <w:tabs>
          <w:tab w:val="left" w:leader="underscore" w:pos="9639"/>
        </w:tabs>
        <w:spacing w:after="0" w:line="240" w:lineRule="auto"/>
        <w:jc w:val="both"/>
        <w:rPr>
          <w:rFonts w:cs="Calibri"/>
          <w:b/>
        </w:rPr>
      </w:pPr>
      <w:r w:rsidRPr="009E79B9">
        <w:rPr>
          <w:rFonts w:cs="Calibri"/>
          <w:b/>
          <w:color w:val="1F3864" w:themeColor="accent5" w:themeShade="80"/>
        </w:rPr>
        <w:t>Actualmente el municipio de Jaral del Progreso no tiene deuda pública</w:t>
      </w: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9F25506" w14:textId="77777777" w:rsidR="007D1E76" w:rsidRDefault="007D1E76" w:rsidP="00CB41C4">
      <w:pPr>
        <w:tabs>
          <w:tab w:val="left" w:leader="underscore" w:pos="9639"/>
        </w:tabs>
        <w:spacing w:after="0" w:line="240" w:lineRule="auto"/>
        <w:jc w:val="both"/>
        <w:rPr>
          <w:rFonts w:cs="Calibri"/>
        </w:rPr>
      </w:pPr>
    </w:p>
    <w:p w14:paraId="44E9DE29" w14:textId="703B8C3E" w:rsidR="00480CC7" w:rsidRDefault="00480CC7" w:rsidP="00CB41C4">
      <w:pPr>
        <w:tabs>
          <w:tab w:val="left" w:leader="underscore" w:pos="9639"/>
        </w:tabs>
        <w:spacing w:after="0" w:line="240" w:lineRule="auto"/>
        <w:jc w:val="both"/>
        <w:rPr>
          <w:rFonts w:cs="Calibri"/>
          <w:color w:val="1F3864" w:themeColor="accent5" w:themeShade="80"/>
        </w:rPr>
      </w:pPr>
      <w:r w:rsidRPr="00480CC7">
        <w:rPr>
          <w:rFonts w:cs="Calibri"/>
          <w:color w:val="1F3864" w:themeColor="accent5" w:themeShade="80"/>
        </w:rPr>
        <w:t>Ninguna</w:t>
      </w:r>
    </w:p>
    <w:p w14:paraId="378026E0" w14:textId="77777777" w:rsidR="00480CC7" w:rsidRPr="00480CC7" w:rsidRDefault="00480CC7" w:rsidP="00CB41C4">
      <w:pPr>
        <w:tabs>
          <w:tab w:val="left" w:leader="underscore" w:pos="9639"/>
        </w:tabs>
        <w:spacing w:after="0" w:line="240" w:lineRule="auto"/>
        <w:jc w:val="both"/>
        <w:rPr>
          <w:rFonts w:cs="Calibri"/>
          <w:color w:val="1F3864" w:themeColor="accent5" w:themeShade="80"/>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480CC7">
        <w:rPr>
          <w:rFonts w:cs="Calibri"/>
          <w:color w:val="1F3864" w:themeColor="accent5" w:themeShade="80"/>
        </w:rPr>
        <w:t>Se informará de</w:t>
      </w:r>
      <w:r w:rsidRPr="00E74967">
        <w:rPr>
          <w:rFonts w:cs="Calibri"/>
        </w:rPr>
        <w:t>:</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2B9ADAAA" w14:textId="77777777" w:rsidR="00480CC7" w:rsidRDefault="00480CC7" w:rsidP="00480CC7">
      <w:pPr>
        <w:tabs>
          <w:tab w:val="left" w:leader="underscore" w:pos="9639"/>
        </w:tabs>
        <w:spacing w:after="0" w:line="240" w:lineRule="auto"/>
        <w:jc w:val="both"/>
        <w:rPr>
          <w:rFonts w:cs="Calibri"/>
          <w:color w:val="1F3864" w:themeColor="accent5" w:themeShade="80"/>
        </w:rPr>
      </w:pPr>
    </w:p>
    <w:p w14:paraId="221C5788" w14:textId="77777777" w:rsidR="00480CC7" w:rsidRPr="0086353B" w:rsidRDefault="00480CC7" w:rsidP="00480CC7">
      <w:pPr>
        <w:tabs>
          <w:tab w:val="left" w:leader="underscore" w:pos="9639"/>
        </w:tabs>
        <w:spacing w:after="0" w:line="240" w:lineRule="auto"/>
        <w:jc w:val="both"/>
        <w:rPr>
          <w:rFonts w:cs="Calibri"/>
          <w:color w:val="1F3864" w:themeColor="accent5" w:themeShade="80"/>
        </w:rPr>
      </w:pPr>
      <w:r w:rsidRPr="0086353B">
        <w:rPr>
          <w:rFonts w:cs="Calibri"/>
          <w:color w:val="1F3864" w:themeColor="accent5" w:themeShade="80"/>
        </w:rPr>
        <w:t>Actualmente se encuentran en proceso</w:t>
      </w:r>
    </w:p>
    <w:p w14:paraId="3456C17E" w14:textId="77777777" w:rsidR="00480CC7" w:rsidRPr="00E74967" w:rsidRDefault="00480CC7" w:rsidP="00480CC7">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6EC387EB" w14:textId="77777777" w:rsidR="00480CC7" w:rsidRDefault="00480CC7" w:rsidP="00480CC7">
      <w:pPr>
        <w:tabs>
          <w:tab w:val="left" w:leader="underscore" w:pos="9639"/>
        </w:tabs>
        <w:spacing w:after="0" w:line="240" w:lineRule="auto"/>
        <w:jc w:val="both"/>
        <w:rPr>
          <w:rFonts w:cs="Calibri"/>
          <w:color w:val="1F3864" w:themeColor="accent5" w:themeShade="80"/>
        </w:rPr>
      </w:pPr>
    </w:p>
    <w:p w14:paraId="7F49C461" w14:textId="77777777" w:rsidR="00480CC7" w:rsidRPr="0086353B" w:rsidRDefault="00480CC7" w:rsidP="00480CC7">
      <w:pPr>
        <w:tabs>
          <w:tab w:val="left" w:leader="underscore" w:pos="9639"/>
        </w:tabs>
        <w:spacing w:after="0" w:line="240" w:lineRule="auto"/>
        <w:jc w:val="both"/>
        <w:rPr>
          <w:rFonts w:cs="Calibri"/>
          <w:color w:val="1F3864" w:themeColor="accent5" w:themeShade="80"/>
        </w:rPr>
      </w:pPr>
      <w:r w:rsidRPr="0086353B">
        <w:rPr>
          <w:rFonts w:cs="Calibri"/>
          <w:color w:val="1F3864" w:themeColor="accent5" w:themeShade="80"/>
        </w:rPr>
        <w:t>Actualmente se encuentran en proceso</w:t>
      </w:r>
    </w:p>
    <w:p w14:paraId="4BFFB3A0" w14:textId="77777777" w:rsidR="00480CC7" w:rsidRPr="00E74967" w:rsidRDefault="00480CC7" w:rsidP="00480CC7">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77777777" w:rsidR="00D5018E" w:rsidRDefault="00D5018E" w:rsidP="00CB41C4">
      <w:pPr>
        <w:tabs>
          <w:tab w:val="left" w:leader="underscore" w:pos="9639"/>
        </w:tabs>
        <w:spacing w:after="0" w:line="240" w:lineRule="auto"/>
        <w:jc w:val="both"/>
        <w:rPr>
          <w:rFonts w:cs="Calibri"/>
        </w:rPr>
      </w:pPr>
    </w:p>
    <w:p w14:paraId="356B3115" w14:textId="77777777" w:rsidR="004151A3" w:rsidRPr="004151A3" w:rsidRDefault="004151A3" w:rsidP="004151A3">
      <w:pPr>
        <w:rPr>
          <w:rFonts w:cs="Calibri"/>
        </w:rPr>
      </w:pPr>
    </w:p>
    <w:p w14:paraId="562709C5" w14:textId="77777777" w:rsidR="006A7A75" w:rsidRPr="004151A3" w:rsidRDefault="006A7A75" w:rsidP="006A7A75">
      <w:pPr>
        <w:tabs>
          <w:tab w:val="left" w:pos="3990"/>
        </w:tabs>
        <w:rPr>
          <w:rFonts w:cs="Calibri"/>
        </w:rPr>
      </w:pPr>
      <w:r>
        <w:rPr>
          <w:rFonts w:cs="Calibri"/>
        </w:rPr>
        <w:tab/>
      </w:r>
    </w:p>
    <w:tbl>
      <w:tblPr>
        <w:tblW w:w="5920" w:type="dxa"/>
        <w:tblInd w:w="1747" w:type="dxa"/>
        <w:tblCellMar>
          <w:left w:w="70" w:type="dxa"/>
          <w:right w:w="70" w:type="dxa"/>
        </w:tblCellMar>
        <w:tblLook w:val="04A0" w:firstRow="1" w:lastRow="0" w:firstColumn="1" w:lastColumn="0" w:noHBand="0" w:noVBand="1"/>
      </w:tblPr>
      <w:tblGrid>
        <w:gridCol w:w="5920"/>
      </w:tblGrid>
      <w:tr w:rsidR="006A7A75" w:rsidRPr="006A7A75" w14:paraId="028D76B5" w14:textId="77777777" w:rsidTr="006A7A75">
        <w:trPr>
          <w:trHeight w:val="420"/>
        </w:trPr>
        <w:tc>
          <w:tcPr>
            <w:tcW w:w="5920" w:type="dxa"/>
            <w:tcBorders>
              <w:top w:val="nil"/>
              <w:left w:val="nil"/>
              <w:bottom w:val="nil"/>
              <w:right w:val="nil"/>
            </w:tcBorders>
            <w:hideMark/>
          </w:tcPr>
          <w:p w14:paraId="2FB65FFF" w14:textId="5F0A6BDB" w:rsidR="006A7A75" w:rsidRPr="006A7A75" w:rsidRDefault="006A7A75" w:rsidP="002564C5">
            <w:pPr>
              <w:spacing w:after="0" w:line="240" w:lineRule="auto"/>
              <w:rPr>
                <w:rFonts w:ascii="Arial" w:eastAsia="Times New Roman" w:hAnsi="Arial" w:cs="Arial"/>
                <w:b/>
                <w:bCs/>
                <w:sz w:val="16"/>
                <w:szCs w:val="16"/>
                <w:lang w:eastAsia="es-MX"/>
              </w:rPr>
            </w:pPr>
          </w:p>
        </w:tc>
      </w:tr>
    </w:tbl>
    <w:p w14:paraId="77A276B8" w14:textId="77777777" w:rsidR="004151A3" w:rsidRDefault="004151A3" w:rsidP="004151A3">
      <w:pPr>
        <w:rPr>
          <w:rFonts w:cs="Calibri"/>
        </w:rPr>
      </w:pPr>
    </w:p>
    <w:p w14:paraId="6104FBAC" w14:textId="77777777" w:rsidR="004151A3" w:rsidRPr="004A589F" w:rsidRDefault="004151A3" w:rsidP="004151A3">
      <w:pPr>
        <w:tabs>
          <w:tab w:val="left" w:pos="1110"/>
        </w:tabs>
        <w:rPr>
          <w:rFonts w:cs="Calibri"/>
        </w:rPr>
      </w:pPr>
    </w:p>
    <w:tbl>
      <w:tblPr>
        <w:tblW w:w="11840" w:type="dxa"/>
        <w:tblInd w:w="-758" w:type="dxa"/>
        <w:tblCellMar>
          <w:left w:w="70" w:type="dxa"/>
          <w:right w:w="70" w:type="dxa"/>
        </w:tblCellMar>
        <w:tblLook w:val="04A0" w:firstRow="1" w:lastRow="0" w:firstColumn="1" w:lastColumn="0" w:noHBand="0" w:noVBand="1"/>
      </w:tblPr>
      <w:tblGrid>
        <w:gridCol w:w="5920"/>
        <w:gridCol w:w="5920"/>
      </w:tblGrid>
      <w:tr w:rsidR="002D6E66" w:rsidRPr="004A589F" w14:paraId="0498B0F5" w14:textId="77777777" w:rsidTr="002D6E66">
        <w:trPr>
          <w:trHeight w:val="225"/>
        </w:trPr>
        <w:tc>
          <w:tcPr>
            <w:tcW w:w="5920" w:type="dxa"/>
            <w:tcBorders>
              <w:top w:val="nil"/>
              <w:left w:val="nil"/>
              <w:bottom w:val="nil"/>
              <w:right w:val="nil"/>
            </w:tcBorders>
          </w:tcPr>
          <w:p w14:paraId="68FCE0BB" w14:textId="016FD6FE" w:rsidR="002D6E66" w:rsidRPr="004A589F" w:rsidRDefault="00BD1DAD" w:rsidP="002D6E66">
            <w:pPr>
              <w:spacing w:after="0" w:line="240" w:lineRule="auto"/>
              <w:jc w:val="center"/>
              <w:rPr>
                <w:rFonts w:ascii="Arial" w:eastAsia="Times New Roman" w:hAnsi="Arial" w:cs="Arial"/>
                <w:b/>
                <w:bCs/>
                <w:sz w:val="16"/>
                <w:szCs w:val="16"/>
                <w:lang w:eastAsia="es-MX"/>
              </w:rPr>
            </w:pPr>
            <w:r>
              <w:rPr>
                <w:rFonts w:ascii="Arial" w:eastAsia="Times New Roman" w:hAnsi="Arial" w:cs="Arial"/>
                <w:b/>
                <w:bCs/>
                <w:sz w:val="16"/>
                <w:szCs w:val="16"/>
                <w:lang w:eastAsia="es-MX"/>
              </w:rPr>
              <w:t xml:space="preserve">ING. </w:t>
            </w:r>
            <w:r w:rsidRPr="00BD1DAD">
              <w:rPr>
                <w:rFonts w:ascii="Arial" w:eastAsia="Times New Roman" w:hAnsi="Arial" w:cs="Arial"/>
                <w:b/>
                <w:bCs/>
                <w:sz w:val="16"/>
                <w:szCs w:val="16"/>
                <w:lang w:eastAsia="es-MX"/>
              </w:rPr>
              <w:t>DANIEL CIMENTAL BARRON</w:t>
            </w:r>
          </w:p>
        </w:tc>
        <w:tc>
          <w:tcPr>
            <w:tcW w:w="5920" w:type="dxa"/>
            <w:tcBorders>
              <w:top w:val="nil"/>
              <w:left w:val="nil"/>
              <w:bottom w:val="nil"/>
              <w:right w:val="nil"/>
            </w:tcBorders>
            <w:noWrap/>
            <w:hideMark/>
          </w:tcPr>
          <w:p w14:paraId="1737D9AB" w14:textId="2367D61A" w:rsidR="002D6E66" w:rsidRPr="004A589F" w:rsidRDefault="00BD1DAD" w:rsidP="002D6E66">
            <w:pPr>
              <w:spacing w:after="0" w:line="240" w:lineRule="auto"/>
              <w:jc w:val="center"/>
              <w:rPr>
                <w:rFonts w:ascii="Arial" w:eastAsia="Times New Roman" w:hAnsi="Arial" w:cs="Arial"/>
                <w:b/>
                <w:bCs/>
                <w:sz w:val="16"/>
                <w:szCs w:val="16"/>
                <w:lang w:eastAsia="es-MX"/>
              </w:rPr>
            </w:pPr>
            <w:r w:rsidRPr="00BD1DAD">
              <w:rPr>
                <w:rFonts w:ascii="Arial" w:eastAsia="Times New Roman" w:hAnsi="Arial" w:cs="Arial"/>
                <w:b/>
                <w:bCs/>
                <w:sz w:val="16"/>
                <w:szCs w:val="16"/>
                <w:lang w:eastAsia="es-MX"/>
              </w:rPr>
              <w:t>C.P. ROCIO DEL CARMEN HIGAREDA SEGURA</w:t>
            </w:r>
            <w:r>
              <w:rPr>
                <w:rFonts w:ascii="Arial" w:eastAsia="Times New Roman" w:hAnsi="Arial" w:cs="Arial"/>
                <w:b/>
                <w:bCs/>
                <w:sz w:val="16"/>
                <w:szCs w:val="16"/>
                <w:lang w:eastAsia="es-MX"/>
              </w:rPr>
              <w:t xml:space="preserve"> </w:t>
            </w:r>
          </w:p>
        </w:tc>
      </w:tr>
      <w:tr w:rsidR="002D6E66" w:rsidRPr="004A589F" w14:paraId="5CD1EA02" w14:textId="77777777" w:rsidTr="002D6E66">
        <w:trPr>
          <w:trHeight w:val="225"/>
        </w:trPr>
        <w:tc>
          <w:tcPr>
            <w:tcW w:w="5920" w:type="dxa"/>
            <w:tcBorders>
              <w:top w:val="nil"/>
              <w:left w:val="nil"/>
              <w:bottom w:val="nil"/>
              <w:right w:val="nil"/>
            </w:tcBorders>
          </w:tcPr>
          <w:p w14:paraId="4D8198A4" w14:textId="26C7470D" w:rsidR="002D6E66" w:rsidRPr="004A589F" w:rsidRDefault="007A732C" w:rsidP="002D6E66">
            <w:pPr>
              <w:spacing w:after="0" w:line="240" w:lineRule="auto"/>
              <w:jc w:val="center"/>
              <w:rPr>
                <w:rFonts w:ascii="Arial" w:eastAsia="Times New Roman" w:hAnsi="Arial" w:cs="Arial"/>
                <w:b/>
                <w:bCs/>
                <w:sz w:val="16"/>
                <w:szCs w:val="16"/>
                <w:lang w:eastAsia="es-MX"/>
              </w:rPr>
            </w:pPr>
            <w:r>
              <w:rPr>
                <w:rFonts w:ascii="Arial" w:eastAsia="Times New Roman" w:hAnsi="Arial" w:cs="Arial"/>
                <w:b/>
                <w:bCs/>
                <w:sz w:val="16"/>
                <w:szCs w:val="16"/>
                <w:lang w:eastAsia="es-MX"/>
              </w:rPr>
              <w:t xml:space="preserve">PRESIDENTE MUNICIPAL </w:t>
            </w:r>
          </w:p>
        </w:tc>
        <w:tc>
          <w:tcPr>
            <w:tcW w:w="5920" w:type="dxa"/>
            <w:tcBorders>
              <w:top w:val="nil"/>
              <w:left w:val="nil"/>
              <w:bottom w:val="nil"/>
              <w:right w:val="nil"/>
            </w:tcBorders>
            <w:hideMark/>
          </w:tcPr>
          <w:p w14:paraId="70C95C33" w14:textId="7D14CA54" w:rsidR="002D6E66" w:rsidRPr="004A589F" w:rsidRDefault="007A732C" w:rsidP="002D6E66">
            <w:pPr>
              <w:spacing w:after="0" w:line="240" w:lineRule="auto"/>
              <w:jc w:val="center"/>
              <w:rPr>
                <w:rFonts w:ascii="Arial" w:eastAsia="Times New Roman" w:hAnsi="Arial" w:cs="Arial"/>
                <w:b/>
                <w:bCs/>
                <w:sz w:val="16"/>
                <w:szCs w:val="16"/>
                <w:lang w:eastAsia="es-MX"/>
              </w:rPr>
            </w:pPr>
            <w:r w:rsidRPr="004A589F">
              <w:rPr>
                <w:rFonts w:ascii="Arial" w:eastAsia="Times New Roman" w:hAnsi="Arial" w:cs="Arial"/>
                <w:b/>
                <w:bCs/>
                <w:sz w:val="16"/>
                <w:szCs w:val="16"/>
                <w:lang w:eastAsia="es-MX"/>
              </w:rPr>
              <w:t xml:space="preserve"> </w:t>
            </w:r>
            <w:r>
              <w:rPr>
                <w:rFonts w:ascii="Arial" w:eastAsia="Times New Roman" w:hAnsi="Arial" w:cs="Arial"/>
                <w:b/>
                <w:bCs/>
                <w:sz w:val="16"/>
                <w:szCs w:val="16"/>
                <w:lang w:eastAsia="es-MX"/>
              </w:rPr>
              <w:t>TESORER</w:t>
            </w:r>
            <w:r w:rsidR="00BD1DAD">
              <w:rPr>
                <w:rFonts w:ascii="Arial" w:eastAsia="Times New Roman" w:hAnsi="Arial" w:cs="Arial"/>
                <w:b/>
                <w:bCs/>
                <w:sz w:val="16"/>
                <w:szCs w:val="16"/>
                <w:lang w:eastAsia="es-MX"/>
              </w:rPr>
              <w:t>A</w:t>
            </w:r>
            <w:r>
              <w:rPr>
                <w:rFonts w:ascii="Arial" w:eastAsia="Times New Roman" w:hAnsi="Arial" w:cs="Arial"/>
                <w:b/>
                <w:bCs/>
                <w:sz w:val="16"/>
                <w:szCs w:val="16"/>
                <w:lang w:eastAsia="es-MX"/>
              </w:rPr>
              <w:t xml:space="preserve"> MUNICIPAL  </w:t>
            </w:r>
          </w:p>
        </w:tc>
      </w:tr>
    </w:tbl>
    <w:p w14:paraId="7C0B2C9C" w14:textId="77777777" w:rsidR="004151A3" w:rsidRPr="004A589F" w:rsidRDefault="004151A3" w:rsidP="004151A3">
      <w:pPr>
        <w:tabs>
          <w:tab w:val="left" w:pos="1110"/>
        </w:tabs>
        <w:rPr>
          <w:rFonts w:cs="Calibri"/>
        </w:rPr>
      </w:pPr>
    </w:p>
    <w:p w14:paraId="6459B86C" w14:textId="77777777" w:rsidR="004151A3" w:rsidRPr="004151A3" w:rsidRDefault="004151A3" w:rsidP="004151A3">
      <w:pPr>
        <w:ind w:firstLine="709"/>
        <w:rPr>
          <w:rFonts w:cs="Calibri"/>
        </w:rPr>
      </w:pPr>
    </w:p>
    <w:sectPr w:rsidR="004151A3" w:rsidRPr="004151A3" w:rsidSect="00053D77">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595BA" w14:textId="77777777" w:rsidR="00D0726D" w:rsidRDefault="00D0726D" w:rsidP="00E00323">
      <w:pPr>
        <w:spacing w:after="0" w:line="240" w:lineRule="auto"/>
      </w:pPr>
      <w:r>
        <w:separator/>
      </w:r>
    </w:p>
  </w:endnote>
  <w:endnote w:type="continuationSeparator" w:id="0">
    <w:p w14:paraId="6E72C636" w14:textId="77777777" w:rsidR="00D0726D" w:rsidRDefault="00D0726D"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Content>
      <w:p w14:paraId="45A1378E" w14:textId="3208FEF5" w:rsidR="0012405A" w:rsidRDefault="0012405A">
        <w:pPr>
          <w:pStyle w:val="Piedepgina"/>
          <w:jc w:val="right"/>
        </w:pPr>
        <w:r>
          <w:fldChar w:fldCharType="begin"/>
        </w:r>
        <w:r>
          <w:instrText>PAGE   \* MERGEFORMAT</w:instrText>
        </w:r>
        <w:r>
          <w:fldChar w:fldCharType="separate"/>
        </w:r>
        <w:r w:rsidR="009E79B9" w:rsidRPr="009E79B9">
          <w:rPr>
            <w:noProof/>
            <w:lang w:val="es-ES"/>
          </w:rPr>
          <w:t>10</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440C89" w14:textId="77777777" w:rsidR="00D0726D" w:rsidRDefault="00D0726D" w:rsidP="00E00323">
      <w:pPr>
        <w:spacing w:after="0" w:line="240" w:lineRule="auto"/>
      </w:pPr>
      <w:r>
        <w:separator/>
      </w:r>
    </w:p>
  </w:footnote>
  <w:footnote w:type="continuationSeparator" w:id="0">
    <w:p w14:paraId="003728F2" w14:textId="77777777" w:rsidR="00D0726D" w:rsidRDefault="00D0726D"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C548F" w14:textId="059D1F40" w:rsidR="00154BA3" w:rsidRDefault="009A100D" w:rsidP="00A4610E">
    <w:pPr>
      <w:pStyle w:val="Encabezado"/>
      <w:spacing w:after="0" w:line="240" w:lineRule="auto"/>
      <w:jc w:val="center"/>
    </w:pPr>
    <w:r>
      <w:t>Jaral del Progreso, Guanajuato</w:t>
    </w:r>
  </w:p>
  <w:p w14:paraId="651A4C4F" w14:textId="5FA8A073" w:rsidR="00A4610E" w:rsidRDefault="00A4610E" w:rsidP="00995F26">
    <w:pPr>
      <w:pStyle w:val="Encabezado"/>
      <w:spacing w:after="0" w:line="240" w:lineRule="auto"/>
      <w:jc w:val="center"/>
    </w:pPr>
    <w:r w:rsidRPr="00A4610E">
      <w:t xml:space="preserve">CORRESPONDINTES AL </w:t>
    </w:r>
    <w:r w:rsidR="007E3FC6">
      <w:t>3</w:t>
    </w:r>
    <w:r w:rsidR="00785129">
      <w:t>1</w:t>
    </w:r>
    <w:r w:rsidR="0088109C">
      <w:t xml:space="preserve"> DE </w:t>
    </w:r>
    <w:r w:rsidR="004A1B07">
      <w:t>MARZO</w:t>
    </w:r>
    <w:r w:rsidR="00995F26">
      <w:t xml:space="preserve"> DE 202</w:t>
    </w:r>
    <w:r w:rsidR="004A1B07">
      <w:t>6</w:t>
    </w:r>
  </w:p>
  <w:p w14:paraId="3129253D" w14:textId="77777777" w:rsidR="007E3FC6" w:rsidRDefault="007E3FC6" w:rsidP="003A4ABA">
    <w:pPr>
      <w:pStyle w:val="Encabezado"/>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947FC"/>
    <w:multiLevelType w:val="hybridMultilevel"/>
    <w:tmpl w:val="A6B60F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138475D"/>
    <w:multiLevelType w:val="hybridMultilevel"/>
    <w:tmpl w:val="3F1C6F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7541D18"/>
    <w:multiLevelType w:val="hybridMultilevel"/>
    <w:tmpl w:val="A2C61B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8F02E79"/>
    <w:multiLevelType w:val="hybridMultilevel"/>
    <w:tmpl w:val="43B280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04922600">
    <w:abstractNumId w:val="3"/>
  </w:num>
  <w:num w:numId="2" w16cid:durableId="1136875521">
    <w:abstractNumId w:val="2"/>
  </w:num>
  <w:num w:numId="3" w16cid:durableId="1922179692">
    <w:abstractNumId w:val="0"/>
  </w:num>
  <w:num w:numId="4" w16cid:durableId="430048115">
    <w:abstractNumId w:val="1"/>
  </w:num>
  <w:num w:numId="5" w16cid:durableId="1451671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40D4F"/>
    <w:rsid w:val="00053D77"/>
    <w:rsid w:val="00084EAE"/>
    <w:rsid w:val="00091CE6"/>
    <w:rsid w:val="00092119"/>
    <w:rsid w:val="000B7810"/>
    <w:rsid w:val="000C3365"/>
    <w:rsid w:val="0012405A"/>
    <w:rsid w:val="00154BA3"/>
    <w:rsid w:val="001973A2"/>
    <w:rsid w:val="001B5C80"/>
    <w:rsid w:val="001C75F2"/>
    <w:rsid w:val="001D2063"/>
    <w:rsid w:val="001D43E9"/>
    <w:rsid w:val="00232175"/>
    <w:rsid w:val="002564C5"/>
    <w:rsid w:val="002D6E66"/>
    <w:rsid w:val="003453CA"/>
    <w:rsid w:val="00351D9D"/>
    <w:rsid w:val="003A4ABA"/>
    <w:rsid w:val="003E271D"/>
    <w:rsid w:val="004151A3"/>
    <w:rsid w:val="00435A87"/>
    <w:rsid w:val="00480CC7"/>
    <w:rsid w:val="00483F2F"/>
    <w:rsid w:val="004A1B07"/>
    <w:rsid w:val="004A58C8"/>
    <w:rsid w:val="004F234D"/>
    <w:rsid w:val="0054233B"/>
    <w:rsid w:val="0054701E"/>
    <w:rsid w:val="005B5531"/>
    <w:rsid w:val="005D3E43"/>
    <w:rsid w:val="005E231E"/>
    <w:rsid w:val="00657009"/>
    <w:rsid w:val="00681C79"/>
    <w:rsid w:val="006A7A75"/>
    <w:rsid w:val="00712A62"/>
    <w:rsid w:val="007610BC"/>
    <w:rsid w:val="0077125E"/>
    <w:rsid w:val="007714AB"/>
    <w:rsid w:val="00785129"/>
    <w:rsid w:val="007A732C"/>
    <w:rsid w:val="007D1E76"/>
    <w:rsid w:val="007D4484"/>
    <w:rsid w:val="007E3FC6"/>
    <w:rsid w:val="0086459F"/>
    <w:rsid w:val="0088109C"/>
    <w:rsid w:val="00893DFE"/>
    <w:rsid w:val="008A1C38"/>
    <w:rsid w:val="008C3BB8"/>
    <w:rsid w:val="008E076C"/>
    <w:rsid w:val="00924DDA"/>
    <w:rsid w:val="0092765C"/>
    <w:rsid w:val="0099116D"/>
    <w:rsid w:val="00995F26"/>
    <w:rsid w:val="009A100D"/>
    <w:rsid w:val="009E79B9"/>
    <w:rsid w:val="009F7901"/>
    <w:rsid w:val="00A4610E"/>
    <w:rsid w:val="00A577DA"/>
    <w:rsid w:val="00A730E0"/>
    <w:rsid w:val="00AA41E5"/>
    <w:rsid w:val="00AA4960"/>
    <w:rsid w:val="00AB722B"/>
    <w:rsid w:val="00AC19C5"/>
    <w:rsid w:val="00AC77A3"/>
    <w:rsid w:val="00AE1F6A"/>
    <w:rsid w:val="00BC4623"/>
    <w:rsid w:val="00BD1DAD"/>
    <w:rsid w:val="00BD417D"/>
    <w:rsid w:val="00C03EDE"/>
    <w:rsid w:val="00C272E2"/>
    <w:rsid w:val="00C33A78"/>
    <w:rsid w:val="00C56DB8"/>
    <w:rsid w:val="00C94A59"/>
    <w:rsid w:val="00C97E1E"/>
    <w:rsid w:val="00CA7290"/>
    <w:rsid w:val="00CB41C4"/>
    <w:rsid w:val="00CC2D7D"/>
    <w:rsid w:val="00CF1316"/>
    <w:rsid w:val="00CF6446"/>
    <w:rsid w:val="00CF7880"/>
    <w:rsid w:val="00D0726D"/>
    <w:rsid w:val="00D13C44"/>
    <w:rsid w:val="00D40FC2"/>
    <w:rsid w:val="00D5018E"/>
    <w:rsid w:val="00D557C0"/>
    <w:rsid w:val="00D975B1"/>
    <w:rsid w:val="00E00323"/>
    <w:rsid w:val="00E74967"/>
    <w:rsid w:val="00E7559F"/>
    <w:rsid w:val="00E9396C"/>
    <w:rsid w:val="00EA37F5"/>
    <w:rsid w:val="00EA7915"/>
    <w:rsid w:val="00EB1740"/>
    <w:rsid w:val="00F013C7"/>
    <w:rsid w:val="00F43602"/>
    <w:rsid w:val="00F46719"/>
    <w:rsid w:val="00F54F6F"/>
    <w:rsid w:val="00F6102D"/>
    <w:rsid w:val="00F65A92"/>
    <w:rsid w:val="00F95D7A"/>
    <w:rsid w:val="00FC27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paragraph" w:customStyle="1" w:styleId="Default">
    <w:name w:val="Default"/>
    <w:rsid w:val="00A577DA"/>
    <w:pPr>
      <w:autoSpaceDE w:val="0"/>
      <w:autoSpaceDN w:val="0"/>
      <w:adjustRightInd w:val="0"/>
    </w:pPr>
    <w:rPr>
      <w:rFonts w:ascii="Century Gothic" w:eastAsiaTheme="minorHAnsi" w:hAnsi="Century Gothic" w:cs="Century Gothic"/>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8998100">
      <w:bodyDiv w:val="1"/>
      <w:marLeft w:val="0"/>
      <w:marRight w:val="0"/>
      <w:marTop w:val="0"/>
      <w:marBottom w:val="0"/>
      <w:divBdr>
        <w:top w:val="none" w:sz="0" w:space="0" w:color="auto"/>
        <w:left w:val="none" w:sz="0" w:space="0" w:color="auto"/>
        <w:bottom w:val="none" w:sz="0" w:space="0" w:color="auto"/>
        <w:right w:val="none" w:sz="0" w:space="0" w:color="auto"/>
      </w:divBdr>
    </w:div>
    <w:div w:id="376441833">
      <w:bodyDiv w:val="1"/>
      <w:marLeft w:val="0"/>
      <w:marRight w:val="0"/>
      <w:marTop w:val="0"/>
      <w:marBottom w:val="0"/>
      <w:divBdr>
        <w:top w:val="none" w:sz="0" w:space="0" w:color="auto"/>
        <w:left w:val="none" w:sz="0" w:space="0" w:color="auto"/>
        <w:bottom w:val="none" w:sz="0" w:space="0" w:color="auto"/>
        <w:right w:val="none" w:sz="0" w:space="0" w:color="auto"/>
      </w:divBdr>
    </w:div>
    <w:div w:id="560750737">
      <w:bodyDiv w:val="1"/>
      <w:marLeft w:val="0"/>
      <w:marRight w:val="0"/>
      <w:marTop w:val="0"/>
      <w:marBottom w:val="0"/>
      <w:divBdr>
        <w:top w:val="none" w:sz="0" w:space="0" w:color="auto"/>
        <w:left w:val="none" w:sz="0" w:space="0" w:color="auto"/>
        <w:bottom w:val="none" w:sz="0" w:space="0" w:color="auto"/>
        <w:right w:val="none" w:sz="0" w:space="0" w:color="auto"/>
      </w:divBdr>
    </w:div>
    <w:div w:id="569459575">
      <w:bodyDiv w:val="1"/>
      <w:marLeft w:val="0"/>
      <w:marRight w:val="0"/>
      <w:marTop w:val="0"/>
      <w:marBottom w:val="0"/>
      <w:divBdr>
        <w:top w:val="none" w:sz="0" w:space="0" w:color="auto"/>
        <w:left w:val="none" w:sz="0" w:space="0" w:color="auto"/>
        <w:bottom w:val="none" w:sz="0" w:space="0" w:color="auto"/>
        <w:right w:val="none" w:sz="0" w:space="0" w:color="auto"/>
      </w:divBdr>
    </w:div>
    <w:div w:id="726611334">
      <w:bodyDiv w:val="1"/>
      <w:marLeft w:val="0"/>
      <w:marRight w:val="0"/>
      <w:marTop w:val="0"/>
      <w:marBottom w:val="0"/>
      <w:divBdr>
        <w:top w:val="none" w:sz="0" w:space="0" w:color="auto"/>
        <w:left w:val="none" w:sz="0" w:space="0" w:color="auto"/>
        <w:bottom w:val="none" w:sz="0" w:space="0" w:color="auto"/>
        <w:right w:val="none" w:sz="0" w:space="0" w:color="auto"/>
      </w:divBdr>
    </w:div>
    <w:div w:id="810899375">
      <w:bodyDiv w:val="1"/>
      <w:marLeft w:val="0"/>
      <w:marRight w:val="0"/>
      <w:marTop w:val="0"/>
      <w:marBottom w:val="0"/>
      <w:divBdr>
        <w:top w:val="none" w:sz="0" w:space="0" w:color="auto"/>
        <w:left w:val="none" w:sz="0" w:space="0" w:color="auto"/>
        <w:bottom w:val="none" w:sz="0" w:space="0" w:color="auto"/>
        <w:right w:val="none" w:sz="0" w:space="0" w:color="auto"/>
      </w:divBdr>
    </w:div>
    <w:div w:id="1144738563">
      <w:bodyDiv w:val="1"/>
      <w:marLeft w:val="0"/>
      <w:marRight w:val="0"/>
      <w:marTop w:val="0"/>
      <w:marBottom w:val="0"/>
      <w:divBdr>
        <w:top w:val="none" w:sz="0" w:space="0" w:color="auto"/>
        <w:left w:val="none" w:sz="0" w:space="0" w:color="auto"/>
        <w:bottom w:val="none" w:sz="0" w:space="0" w:color="auto"/>
        <w:right w:val="none" w:sz="0" w:space="0" w:color="auto"/>
      </w:divBdr>
    </w:div>
    <w:div w:id="2089881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BF24DE-75F1-452B-BC11-88A2E54A60BB}">
  <ds:schemaRefs>
    <ds:schemaRef ds:uri="http://schemas.openxmlformats.org/officeDocument/2006/bibliography"/>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02599E-C54E-40EB-B3BD-41B2F70A9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12</Pages>
  <Words>3290</Words>
  <Characters>18099</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21347</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 .</cp:lastModifiedBy>
  <cp:revision>14</cp:revision>
  <cp:lastPrinted>2024-04-30T22:14:00Z</cp:lastPrinted>
  <dcterms:created xsi:type="dcterms:W3CDTF">2024-10-09T00:58:00Z</dcterms:created>
  <dcterms:modified xsi:type="dcterms:W3CDTF">2026-04-24T19:29:00Z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